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14:textFill>
            <w14:solidFill>
              <w14:schemeClr w14:val="tx1"/>
            </w14:solidFill>
          </w14:textFill>
        </w:rPr>
        <w:t>采购编号：</w:t>
      </w:r>
      <w:r>
        <w:rPr>
          <w:rFonts w:hint="eastAsia" w:ascii="黑体" w:eastAsia="黑体"/>
          <w:color w:val="000000" w:themeColor="text1"/>
          <w:sz w:val="30"/>
          <w:szCs w:val="30"/>
          <w14:textFill>
            <w14:solidFill>
              <w14:schemeClr w14:val="tx1"/>
            </w14:solidFill>
          </w14:textFill>
        </w:rPr>
        <w:t>九管局采磋</w:t>
      </w:r>
      <w:r>
        <w:rPr>
          <w:rFonts w:hint="eastAsia" w:ascii="宋体"/>
          <w:b/>
          <w:color w:val="000000" w:themeColor="text1"/>
          <w:sz w:val="30"/>
          <w:szCs w:val="30"/>
          <w14:textFill>
            <w14:solidFill>
              <w14:schemeClr w14:val="tx1"/>
            </w14:solidFill>
          </w14:textFill>
        </w:rPr>
        <w:t>[20</w:t>
      </w:r>
      <w:r>
        <w:rPr>
          <w:rFonts w:ascii="宋体"/>
          <w:b/>
          <w:color w:val="000000" w:themeColor="text1"/>
          <w:sz w:val="30"/>
          <w:szCs w:val="30"/>
          <w14:textFill>
            <w14:solidFill>
              <w14:schemeClr w14:val="tx1"/>
            </w14:solidFill>
          </w14:textFill>
        </w:rPr>
        <w:t>2</w:t>
      </w:r>
      <w:r>
        <w:rPr>
          <w:rFonts w:hint="eastAsia" w:ascii="宋体"/>
          <w:b/>
          <w:color w:val="000000" w:themeColor="text1"/>
          <w:sz w:val="30"/>
          <w:szCs w:val="30"/>
          <w:lang w:val="en-US" w:eastAsia="zh-CN"/>
          <w14:textFill>
            <w14:solidFill>
              <w14:schemeClr w14:val="tx1"/>
            </w14:solidFill>
          </w14:textFill>
        </w:rPr>
        <w:t>3</w:t>
      </w:r>
      <w:r>
        <w:rPr>
          <w:rFonts w:hint="eastAsia" w:ascii="宋体"/>
          <w:b/>
          <w:color w:val="000000" w:themeColor="text1"/>
          <w:sz w:val="30"/>
          <w:szCs w:val="30"/>
          <w14:textFill>
            <w14:solidFill>
              <w14:schemeClr w14:val="tx1"/>
            </w14:solidFill>
          </w14:textFill>
        </w:rPr>
        <w:t>]</w:t>
      </w:r>
      <w:r>
        <w:rPr>
          <w:rFonts w:ascii="宋体"/>
          <w:b/>
          <w:color w:val="000000" w:themeColor="text1"/>
          <w:sz w:val="30"/>
          <w:szCs w:val="30"/>
          <w14:textFill>
            <w14:solidFill>
              <w14:schemeClr w14:val="tx1"/>
            </w14:solidFill>
          </w14:textFill>
        </w:rPr>
        <w:t>0</w:t>
      </w:r>
      <w:r>
        <w:rPr>
          <w:rFonts w:hint="eastAsia" w:ascii="宋体"/>
          <w:b/>
          <w:color w:val="000000" w:themeColor="text1"/>
          <w:sz w:val="30"/>
          <w:szCs w:val="30"/>
          <w:lang w:val="en-US" w:eastAsia="zh-CN"/>
          <w14:textFill>
            <w14:solidFill>
              <w14:schemeClr w14:val="tx1"/>
            </w14:solidFill>
          </w14:textFill>
        </w:rPr>
        <w:t>8</w:t>
      </w:r>
      <w:r>
        <w:rPr>
          <w:rFonts w:hint="eastAsia" w:ascii="宋体"/>
          <w:b/>
          <w:color w:val="000000" w:themeColor="text1"/>
          <w:sz w:val="30"/>
          <w:szCs w:val="30"/>
          <w14:textFill>
            <w14:solidFill>
              <w14:schemeClr w14:val="tx1"/>
            </w14:solidFill>
          </w14:textFill>
        </w:rPr>
        <w:t>号</w:t>
      </w:r>
    </w:p>
    <w:p>
      <w:pPr>
        <w:jc w:val="center"/>
        <w:rPr>
          <w:rFonts w:ascii="Times New Roman" w:hAnsi="Times New Roman" w:eastAsia="黑体" w:cs="Times New Roman"/>
          <w:color w:val="000000" w:themeColor="text1"/>
          <w:sz w:val="30"/>
          <w14:textFill>
            <w14:solidFill>
              <w14:schemeClr w14:val="tx1"/>
            </w14:solidFill>
          </w14:textFill>
        </w:rPr>
      </w:pPr>
    </w:p>
    <w:p>
      <w:pPr>
        <w:rPr>
          <w:rFonts w:ascii="Times New Roman" w:hAnsi="Times New Roman" w:eastAsia="黑体" w:cs="Times New Roman"/>
          <w:color w:val="000000" w:themeColor="text1"/>
          <w:sz w:val="52"/>
          <w14:textFill>
            <w14:solidFill>
              <w14:schemeClr w14:val="tx1"/>
            </w14:solidFill>
          </w14:textFill>
        </w:rPr>
      </w:pPr>
    </w:p>
    <w:p>
      <w:pPr>
        <w:jc w:val="center"/>
        <w:rPr>
          <w:rFonts w:hint="eastAsia" w:ascii="Times New Roman" w:hAnsi="Times New Roman" w:eastAsia="黑体" w:cs="Times New Roman"/>
          <w:color w:val="000000" w:themeColor="text1"/>
          <w:sz w:val="48"/>
          <w:szCs w:val="48"/>
          <w:u w:val="none"/>
          <w14:textFill>
            <w14:solidFill>
              <w14:schemeClr w14:val="tx1"/>
            </w14:solidFill>
          </w14:textFill>
        </w:rPr>
      </w:pPr>
      <w:bookmarkStart w:id="0" w:name="PO_项目名称_1"/>
      <w:r>
        <w:rPr>
          <w:rFonts w:hint="eastAsia" w:ascii="Times New Roman" w:hAnsi="Times New Roman" w:eastAsia="黑体" w:cs="Times New Roman"/>
          <w:color w:val="000000" w:themeColor="text1"/>
          <w:sz w:val="48"/>
          <w:szCs w:val="48"/>
          <w:u w:val="none"/>
          <w14:textFill>
            <w14:solidFill>
              <w14:schemeClr w14:val="tx1"/>
            </w14:solidFill>
          </w14:textFill>
        </w:rPr>
        <w:t>九寨沟风景名胜区</w:t>
      </w:r>
    </w:p>
    <w:p>
      <w:pPr>
        <w:jc w:val="center"/>
        <w:rPr>
          <w:rFonts w:hint="eastAsia" w:ascii="方正黑体_GBK" w:eastAsia="方正黑体_GBK" w:cs="方正黑体_GBK"/>
          <w:b/>
          <w:color w:val="000000" w:themeColor="text1"/>
          <w:sz w:val="52"/>
          <w:szCs w:val="52"/>
          <w:u w:val="none"/>
          <w:lang w:eastAsia="zh-CN"/>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责任保险（含自然灾害险）</w:t>
      </w:r>
      <w:r>
        <w:rPr>
          <w:rFonts w:hint="eastAsia" w:ascii="方正黑体_GBK" w:eastAsia="方正黑体_GBK" w:cs="方正黑体_GBK"/>
          <w:color w:val="000000" w:themeColor="text1"/>
          <w:sz w:val="48"/>
          <w:szCs w:val="48"/>
          <w:u w:val="none"/>
          <w14:textFill>
            <w14:solidFill>
              <w14:schemeClr w14:val="tx1"/>
            </w14:solidFill>
          </w14:textFill>
        </w:rPr>
        <w:t>采购项目</w:t>
      </w:r>
      <w:bookmarkEnd w:id="0"/>
      <w:r>
        <w:rPr>
          <w:rFonts w:hint="eastAsia" w:ascii="方正黑体_GBK" w:eastAsia="方正黑体_GBK" w:cs="方正黑体_GBK"/>
          <w:color w:val="000000" w:themeColor="text1"/>
          <w:sz w:val="48"/>
          <w:szCs w:val="48"/>
          <w:u w:val="none"/>
          <w:lang w:eastAsia="zh-CN"/>
          <w14:textFill>
            <w14:solidFill>
              <w14:schemeClr w14:val="tx1"/>
            </w14:solidFill>
          </w14:textFill>
        </w:rPr>
        <w:t>（二次）</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竞</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争</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性</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磋</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商</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文</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件</w:t>
      </w:r>
    </w:p>
    <w:p>
      <w:pPr>
        <w:spacing w:line="360" w:lineRule="auto"/>
        <w:jc w:val="center"/>
        <w:rPr>
          <w:rFonts w:ascii="Times New Roman" w:hAnsi="Times New Roman" w:eastAsia="黑体" w:cs="Times New Roman"/>
          <w:color w:val="000000" w:themeColor="text1"/>
          <w:sz w:val="32"/>
          <w14:textFill>
            <w14:solidFill>
              <w14:schemeClr w14:val="tx1"/>
            </w14:solidFill>
          </w14:textFill>
        </w:rPr>
      </w:pPr>
    </w:p>
    <w:p>
      <w:pPr>
        <w:spacing w:line="360" w:lineRule="auto"/>
        <w:jc w:val="center"/>
        <w:rPr>
          <w:rFonts w:ascii="仿宋" w:eastAsia="仿宋"/>
          <w:b/>
          <w:color w:val="000000" w:themeColor="text1"/>
          <w:sz w:val="32"/>
          <w:szCs w:val="32"/>
          <w14:textFill>
            <w14:solidFill>
              <w14:schemeClr w14:val="tx1"/>
            </w14:solidFill>
          </w14:textFill>
        </w:rPr>
      </w:pPr>
      <w:bookmarkStart w:id="1" w:name="PO_采购人_1"/>
      <w:r>
        <w:rPr>
          <w:rFonts w:hint="eastAsia" w:ascii="仿宋" w:eastAsia="仿宋"/>
          <w:b/>
          <w:color w:val="000000" w:themeColor="text1"/>
          <w:sz w:val="32"/>
          <w:szCs w:val="32"/>
          <w14:textFill>
            <w14:solidFill>
              <w14:schemeClr w14:val="tx1"/>
            </w14:solidFill>
          </w14:textFill>
        </w:rPr>
        <w:t>九寨沟风景名胜区管理局</w:t>
      </w:r>
      <w:bookmarkEnd w:id="1"/>
      <w:r>
        <w:rPr>
          <w:rFonts w:hint="eastAsia" w:ascii="仿宋" w:eastAsia="仿宋"/>
          <w:b/>
          <w:color w:val="000000" w:themeColor="text1"/>
          <w:sz w:val="30"/>
          <w:szCs w:val="30"/>
          <w14:textFill>
            <w14:solidFill>
              <w14:schemeClr w14:val="tx1"/>
            </w14:solidFill>
          </w14:textFill>
        </w:rPr>
        <w:t xml:space="preserve"> </w:t>
      </w:r>
      <w:r>
        <w:rPr>
          <w:rFonts w:hint="eastAsia" w:ascii="仿宋" w:eastAsia="仿宋"/>
          <w:b/>
          <w:color w:val="000000" w:themeColor="text1"/>
          <w:sz w:val="32"/>
          <w:szCs w:val="32"/>
          <w14:textFill>
            <w14:solidFill>
              <w14:schemeClr w14:val="tx1"/>
            </w14:solidFill>
          </w14:textFill>
        </w:rPr>
        <w:t>编制</w:t>
      </w:r>
    </w:p>
    <w:p>
      <w:pPr>
        <w:spacing w:line="360" w:lineRule="auto"/>
        <w:jc w:val="center"/>
        <w:rPr>
          <w:rFonts w:hint="eastAsia"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2</w:t>
      </w:r>
      <w:r>
        <w:rPr>
          <w:rFonts w:ascii="仿宋" w:eastAsia="仿宋"/>
          <w:b/>
          <w:bCs/>
          <w:color w:val="000000" w:themeColor="text1"/>
          <w:sz w:val="32"/>
          <w:szCs w:val="32"/>
          <w14:textFill>
            <w14:solidFill>
              <w14:schemeClr w14:val="tx1"/>
            </w14:solidFill>
          </w14:textFill>
        </w:rPr>
        <w:t>02</w:t>
      </w:r>
      <w:r>
        <w:rPr>
          <w:rFonts w:hint="eastAsia" w:ascii="仿宋" w:eastAsia="仿宋"/>
          <w:b/>
          <w:bCs/>
          <w:color w:val="000000" w:themeColor="text1"/>
          <w:sz w:val="32"/>
          <w:szCs w:val="32"/>
          <w:lang w:val="en-US" w:eastAsia="zh-CN"/>
          <w14:textFill>
            <w14:solidFill>
              <w14:schemeClr w14:val="tx1"/>
            </w14:solidFill>
          </w14:textFill>
        </w:rPr>
        <w:t>3</w:t>
      </w:r>
      <w:r>
        <w:rPr>
          <w:rFonts w:hint="eastAsia" w:ascii="仿宋" w:eastAsia="仿宋"/>
          <w:b/>
          <w:bCs/>
          <w:color w:val="000000" w:themeColor="text1"/>
          <w:sz w:val="32"/>
          <w:szCs w:val="32"/>
          <w14:textFill>
            <w14:solidFill>
              <w14:schemeClr w14:val="tx1"/>
            </w14:solidFill>
          </w14:textFill>
        </w:rPr>
        <w:t>年</w:t>
      </w:r>
      <w:r>
        <w:rPr>
          <w:rFonts w:hint="eastAsia" w:ascii="仿宋" w:eastAsia="仿宋"/>
          <w:b/>
          <w:bCs/>
          <w:color w:val="000000" w:themeColor="text1"/>
          <w:sz w:val="32"/>
          <w:szCs w:val="32"/>
          <w:lang w:val="en-US" w:eastAsia="zh-CN"/>
          <w14:textFill>
            <w14:solidFill>
              <w14:schemeClr w14:val="tx1"/>
            </w14:solidFill>
          </w14:textFill>
        </w:rPr>
        <w:t>8</w:t>
      </w:r>
      <w:r>
        <w:rPr>
          <w:rFonts w:hint="eastAsia" w:ascii="仿宋" w:eastAsia="仿宋"/>
          <w:b/>
          <w:bCs/>
          <w:color w:val="000000" w:themeColor="text1"/>
          <w:sz w:val="32"/>
          <w:szCs w:val="32"/>
          <w14:textFill>
            <w14:solidFill>
              <w14:schemeClr w14:val="tx1"/>
            </w14:solidFill>
          </w14:textFill>
        </w:rPr>
        <w:t>月</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eastAsia="仿宋"/>
          <w:b/>
          <w:bCs/>
          <w:color w:val="000000" w:themeColor="text1"/>
          <w:sz w:val="32"/>
          <w:szCs w:val="32"/>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eastAsia="仿宋"/>
          <w:b/>
          <w:bCs/>
          <w:color w:val="000000" w:themeColor="text1"/>
          <w:sz w:val="32"/>
          <w:szCs w:val="32"/>
          <w14:textFill>
            <w14:solidFill>
              <w14:schemeClr w14:val="tx1"/>
            </w14:solidFill>
          </w14:textFill>
        </w:rPr>
      </w:pPr>
    </w:p>
    <w:p>
      <w:pPr>
        <w:rPr>
          <w:rFonts w:hint="eastAsia" w:ascii="仿宋" w:eastAsia="仿宋"/>
          <w:b/>
          <w:bCs/>
          <w:color w:val="000000" w:themeColor="text1"/>
          <w:sz w:val="32"/>
          <w:szCs w:val="32"/>
          <w14:textFill>
            <w14:solidFill>
              <w14:schemeClr w14:val="tx1"/>
            </w14:solidFill>
          </w14:textFill>
        </w:rPr>
      </w:pPr>
    </w:p>
    <w:p>
      <w:pPr>
        <w:pStyle w:val="4"/>
        <w:rPr>
          <w:color w:val="000000" w:themeColor="text1"/>
          <w14:textFill>
            <w14:solidFill>
              <w14:schemeClr w14:val="tx1"/>
            </w14:solidFill>
          </w14:textFill>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rPr>
          <w:rFonts w:ascii="Times New Roman" w:hAnsi="Times New Roman" w:eastAsia="黑体" w:cs="Times New Roman"/>
          <w:color w:val="000000" w:themeColor="text1"/>
          <w:sz w:val="32"/>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8"/>
          <w14:textFill>
            <w14:solidFill>
              <w14:schemeClr w14:val="tx1"/>
            </w14:solidFill>
          </w14:textFill>
        </w:rPr>
      </w:pPr>
      <w:r>
        <w:rPr>
          <w:rFonts w:ascii="Times New Roman" w:hAnsi="Times New Roman" w:cs="Times New Roman"/>
          <w:color w:val="000000" w:themeColor="text1"/>
          <w:sz w:val="44"/>
          <w:szCs w:val="48"/>
          <w14:textFill>
            <w14:solidFill>
              <w14:schemeClr w14:val="tx1"/>
            </w14:solidFill>
          </w14:textFill>
        </w:rPr>
        <w:t>目  录</w:t>
      </w:r>
    </w:p>
    <w:p>
      <w:pPr>
        <w:jc w:val="center"/>
        <w:rPr>
          <w:rFonts w:ascii="Times New Roman" w:hAnsi="Times New Roman" w:cs="Times New Roman"/>
          <w:color w:val="000000" w:themeColor="text1"/>
          <w:sz w:val="44"/>
          <w:szCs w:val="48"/>
          <w14:textFill>
            <w14:solidFill>
              <w14:schemeClr w14:val="tx1"/>
            </w14:solidFill>
          </w14:textFill>
        </w:rPr>
      </w:pP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rFonts w:ascii="Times New Roman" w:hAnsi="Times New Roman" w:eastAsia="仿宋" w:cs="Times New Roman"/>
          <w:color w:val="000000" w:themeColor="text1"/>
          <w:sz w:val="32"/>
          <w:szCs w:val="28"/>
          <w14:textFill>
            <w14:solidFill>
              <w14:schemeClr w14:val="tx1"/>
            </w14:solidFill>
          </w14:textFill>
        </w:rPr>
        <w:fldChar w:fldCharType="begin"/>
      </w:r>
      <w:r>
        <w:rPr>
          <w:rFonts w:ascii="Times New Roman" w:hAnsi="Times New Roman" w:eastAsia="仿宋" w:cs="Times New Roman"/>
          <w:color w:val="000000" w:themeColor="text1"/>
          <w:sz w:val="32"/>
          <w:szCs w:val="28"/>
          <w14:textFill>
            <w14:solidFill>
              <w14:schemeClr w14:val="tx1"/>
            </w14:solidFill>
          </w14:textFill>
        </w:rPr>
        <w:instrText xml:space="preserve">TOC \o "1-1" \h \u </w:instrText>
      </w:r>
      <w:r>
        <w:rPr>
          <w:rFonts w:ascii="Times New Roman" w:hAnsi="Times New Roman" w:eastAsia="仿宋" w:cs="Times New Roman"/>
          <w:color w:val="000000" w:themeColor="text1"/>
          <w:sz w:val="32"/>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"_Toc112053976"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第一章  磋商邀请</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_Toc112053976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"_Toc112053977"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第二章  磋商须知</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_Toc112053977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"_Toc112053978"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第三章  供应商和报价产品的资格、资质性及其他类似效力要求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_Toc112053978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14</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"_Toc112053979"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第四章  供应商应当提供的资格、资质性及其他类似效力要求的相关证明材料</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_Toc112053979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15</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方正仿宋_GBK" w:eastAsia="方正仿宋_GBK"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"_Toc112053980"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第五章  采购项目技术、服务、采购合同内容条款及其他商务要求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_Toc112053980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16</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"_Toc112053981"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第六章  磋商内容、磋商过程中可实质性变动的内容</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2</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0</w:t>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"_Toc112053982"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第七章  响应文件格式</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_Toc112053982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21</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"_Toc112053983"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第八章  评审方法</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_Toc112053983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37</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"_Toc112053984"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第九章  采购合同（服务类）</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4</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8</w:t>
      </w:r>
    </w:p>
    <w:p>
      <w:pPr>
        <w:pStyle w:val="16"/>
        <w:tabs>
          <w:tab w:val="right" w:leader="dot" w:pos="8296"/>
        </w:tabs>
        <w:spacing w:line="560" w:lineRule="exact"/>
        <w:rPr>
          <w:rFonts w:ascii="Times New Roman" w:hAnsi="Times New Roman" w:cs="Times New Roman"/>
          <w:color w:val="000000" w:themeColor="text1"/>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"_Toc112053985"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附件1</w:t>
      </w:r>
      <w:r>
        <w:rPr>
          <w:rFonts w:hint="eastAsia" w:ascii="Times New Roman" w:hAnsi="Times New Roman" w:eastAsia="仿宋" w:cs="Times New Roman"/>
          <w:b/>
          <w:color w:val="000000" w:themeColor="text1"/>
          <w:sz w:val="24"/>
          <w:szCs w:val="28"/>
          <w:lang w:val="en-US" w:eastAsia="zh-CN"/>
          <w14:textFill>
            <w14:solidFill>
              <w14:schemeClr w14:val="tx1"/>
            </w14:solidFill>
          </w14:textFill>
        </w:rPr>
        <w:t xml:space="preserve">  </w:t>
      </w:r>
      <w:r>
        <w:rPr>
          <w:rFonts w:hint="eastAsia" w:ascii="Times New Roman" w:hAnsi="Times New Roman" w:eastAsia="仿宋" w:cs="Times New Roman"/>
          <w:b/>
          <w:color w:val="000000" w:themeColor="text1"/>
          <w:sz w:val="24"/>
          <w:szCs w:val="28"/>
          <w14:textFill>
            <w14:solidFill>
              <w14:schemeClr w14:val="tx1"/>
            </w14:solidFill>
          </w14:textFill>
        </w:rPr>
        <w:t>报价一览表（服务类）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52</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"_Toc112053985"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附件</w:t>
      </w:r>
      <w:r>
        <w:rPr>
          <w:rFonts w:hint="eastAsia" w:ascii="Times New Roman" w:hAnsi="Times New Roman" w:eastAsia="仿宋" w:cs="Times New Roman"/>
          <w:b/>
          <w:color w:val="000000" w:themeColor="text1"/>
          <w:sz w:val="24"/>
          <w:szCs w:val="28"/>
          <w:lang w:val="en-US" w:eastAsia="zh-CN"/>
          <w14:textFill>
            <w14:solidFill>
              <w14:schemeClr w14:val="tx1"/>
            </w14:solidFill>
          </w14:textFill>
        </w:rPr>
        <w:t>2  分项报价明细表（服务类）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5</w:t>
      </w:r>
      <w:r>
        <w:rPr>
          <w:rFonts w:hint="eastAsia" w:ascii="Times New Roman" w:hAnsi="Times New Roman" w:cs="Times New Roman"/>
          <w:color w:val="000000" w:themeColor="text1"/>
          <w:sz w:val="24"/>
          <w:szCs w:val="28"/>
          <w:lang w:val="en-US" w:eastAsia="zh-CN"/>
          <w14:textFill>
            <w14:solidFill>
              <w14:schemeClr w14:val="tx1"/>
            </w14:solidFill>
          </w14:textFill>
        </w:rPr>
        <w:t>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spacing w:line="560" w:lineRule="exact"/>
        <w:rPr>
          <w:rFonts w:ascii="Times New Roman" w:hAnsi="Times New Roman" w:eastAsia="仿宋" w:cs="Times New Roman"/>
          <w:color w:val="000000" w:themeColor="text1"/>
          <w:sz w:val="32"/>
          <w:szCs w:val="36"/>
          <w14:textFill>
            <w14:solidFill>
              <w14:schemeClr w14:val="tx1"/>
            </w14:solidFill>
          </w14:textFill>
        </w:rPr>
      </w:pPr>
      <w:r>
        <w:rPr>
          <w:rFonts w:ascii="Times New Roman" w:hAnsi="Times New Roman" w:eastAsia="仿宋" w:cs="Times New Roman"/>
          <w:color w:val="000000" w:themeColor="text1"/>
          <w:sz w:val="32"/>
          <w:szCs w:val="36"/>
          <w14:textFill>
            <w14:solidFill>
              <w14:schemeClr w14:val="tx1"/>
            </w14:solidFill>
          </w14:textFill>
        </w:rPr>
        <w:fldChar w:fldCharType="end"/>
      </w:r>
    </w:p>
    <w:p>
      <w:pPr>
        <w:rPr>
          <w:rFonts w:ascii="Times New Roman" w:hAnsi="Times New Roman" w:eastAsia="仿宋" w:cs="Times New Roman"/>
          <w:color w:val="000000" w:themeColor="text1"/>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outlineLvl w:val="0"/>
        <w:rPr>
          <w:rFonts w:ascii="Times New Roman" w:hAnsi="Times New Roman" w:eastAsia="仿宋" w:cs="Times New Roman"/>
          <w:b/>
          <w:color w:val="000000" w:themeColor="text1"/>
          <w:sz w:val="32"/>
          <w14:textFill>
            <w14:solidFill>
              <w14:schemeClr w14:val="tx1"/>
            </w14:solidFill>
          </w14:textFill>
        </w:rPr>
        <w:sectPr>
          <w:footerReference r:id="rId6"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color w:val="000000" w:themeColor="text1"/>
          <w:sz w:val="36"/>
          <w:szCs w:val="36"/>
          <w14:textFill>
            <w14:solidFill>
              <w14:schemeClr w14:val="tx1"/>
            </w14:solidFill>
          </w14:textFill>
        </w:rPr>
      </w:pPr>
      <w:bookmarkStart w:id="2" w:name="_Toc112053976"/>
      <w:r>
        <w:rPr>
          <w:rFonts w:ascii="Times New Roman" w:hAnsi="Times New Roman" w:eastAsia="仿宋" w:cs="Times New Roman"/>
          <w:b/>
          <w:color w:val="000000" w:themeColor="text1"/>
          <w:sz w:val="36"/>
          <w:szCs w:val="36"/>
          <w14:textFill>
            <w14:solidFill>
              <w14:schemeClr w14:val="tx1"/>
            </w14:solidFill>
          </w14:textFill>
        </w:rPr>
        <w:t>第一章  磋商邀请</w:t>
      </w:r>
      <w:bookmarkEnd w:id="2"/>
    </w:p>
    <w:p>
      <w:pPr>
        <w:spacing w:line="560" w:lineRule="exact"/>
        <w:ind w:firstLine="482"/>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九寨沟</w:t>
      </w:r>
      <w:r>
        <w:rPr>
          <w:rFonts w:hint="eastAsia" w:ascii="Times New Roman" w:hAnsi="Times New Roman" w:eastAsia="方正仿宋_GBK" w:cs="Times New Roman"/>
          <w:color w:val="000000" w:themeColor="text1"/>
          <w:sz w:val="24"/>
          <w14:textFill>
            <w14:solidFill>
              <w14:schemeClr w14:val="tx1"/>
            </w14:solidFill>
          </w14:textFill>
        </w:rPr>
        <w:t>风景名胜区</w:t>
      </w:r>
      <w:r>
        <w:rPr>
          <w:rFonts w:ascii="Times New Roman" w:hAnsi="Times New Roman" w:eastAsia="方正仿宋_GBK" w:cs="Times New Roman"/>
          <w:color w:val="000000" w:themeColor="text1"/>
          <w:sz w:val="24"/>
          <w14:textFill>
            <w14:solidFill>
              <w14:schemeClr w14:val="tx1"/>
            </w14:solidFill>
          </w14:textFill>
        </w:rPr>
        <w:t>管理局拟对</w:t>
      </w:r>
      <w:r>
        <w:rPr>
          <w:rFonts w:hint="eastAsia" w:ascii="Times New Roman" w:hAnsi="Times New Roman" w:eastAsia="方正仿宋_GBK" w:cs="Times New Roman"/>
          <w:color w:val="000000" w:themeColor="text1"/>
          <w:sz w:val="24"/>
          <w:highlight w:val="none"/>
          <w:u w:val="single"/>
          <w14:textFill>
            <w14:solidFill>
              <w14:schemeClr w14:val="tx1"/>
            </w14:solidFill>
          </w14:textFill>
        </w:rPr>
        <w:t>九寨沟风景名胜区责任保险（含自然灾害险）采购项目</w:t>
      </w:r>
      <w:r>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t>（二次）</w:t>
      </w:r>
      <w:r>
        <w:rPr>
          <w:rFonts w:ascii="Times New Roman" w:hAnsi="Times New Roman" w:eastAsia="方正仿宋_GBK"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spacing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一、采购项目基本情况</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1.项目编号：</w:t>
      </w:r>
      <w:bookmarkStart w:id="3" w:name="PO_项目编号_2"/>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lang w:val="en-US" w:eastAsia="zh-CN"/>
          <w14:textFill>
            <w14:solidFill>
              <w14:schemeClr w14:val="tx1"/>
            </w14:solidFill>
          </w14:textFill>
        </w:rPr>
        <w:t>3</w:t>
      </w:r>
      <w:r>
        <w:rPr>
          <w:rFonts w:hint="eastAsia" w:ascii="仿宋" w:eastAsia="仿宋" w:cs="Times New Roman"/>
          <w:color w:val="000000" w:themeColor="text1"/>
          <w:sz w:val="24"/>
          <w14:textFill>
            <w14:solidFill>
              <w14:schemeClr w14:val="tx1"/>
            </w14:solidFill>
          </w14:textFill>
        </w:rPr>
        <w:t>]</w:t>
      </w:r>
      <w:r>
        <w:rPr>
          <w:rFonts w:ascii="仿宋" w:eastAsia="仿宋" w:cs="Times New Roman"/>
          <w:color w:val="000000" w:themeColor="text1"/>
          <w:sz w:val="24"/>
          <w14:textFill>
            <w14:solidFill>
              <w14:schemeClr w14:val="tx1"/>
            </w14:solidFill>
          </w14:textFill>
        </w:rPr>
        <w:t>0</w:t>
      </w:r>
      <w:r>
        <w:rPr>
          <w:rFonts w:hint="eastAsia" w:ascii="仿宋" w:eastAsia="仿宋" w:cs="Times New Roman"/>
          <w:color w:val="000000" w:themeColor="text1"/>
          <w:sz w:val="24"/>
          <w:lang w:val="en-US" w:eastAsia="zh-CN"/>
          <w14:textFill>
            <w14:solidFill>
              <w14:schemeClr w14:val="tx1"/>
            </w14:solidFill>
          </w14:textFill>
        </w:rPr>
        <w:t>8</w:t>
      </w:r>
      <w:r>
        <w:rPr>
          <w:rFonts w:hint="eastAsia" w:ascii="仿宋" w:eastAsia="仿宋" w:cs="Times New Roman"/>
          <w:color w:val="000000" w:themeColor="text1"/>
          <w:sz w:val="24"/>
          <w14:textFill>
            <w14:solidFill>
              <w14:schemeClr w14:val="tx1"/>
            </w14:solidFill>
          </w14:textFill>
        </w:rPr>
        <w:t>号</w:t>
      </w:r>
      <w:r>
        <w:rPr>
          <w:rFonts w:ascii="仿宋" w:eastAsia="仿宋"/>
          <w:color w:val="000000" w:themeColor="text1"/>
          <w:sz w:val="24"/>
          <w14:textFill>
            <w14:solidFill>
              <w14:schemeClr w14:val="tx1"/>
            </w14:solidFill>
          </w14:textFill>
        </w:rPr>
        <w:t xml:space="preserve"> </w:t>
      </w:r>
      <w:bookmarkEnd w:id="3"/>
    </w:p>
    <w:p>
      <w:pPr>
        <w:spacing w:line="440" w:lineRule="exact"/>
        <w:ind w:firstLine="480" w:firstLineChars="200"/>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pPr>
      <w:r>
        <w:rPr>
          <w:rFonts w:hint="eastAsia" w:ascii="仿宋" w:eastAsia="仿宋"/>
          <w:color w:val="000000" w:themeColor="text1"/>
          <w:sz w:val="24"/>
          <w14:textFill>
            <w14:solidFill>
              <w14:schemeClr w14:val="tx1"/>
            </w14:solidFill>
          </w14:textFill>
        </w:rPr>
        <w:t>2.采购项目名称：</w:t>
      </w:r>
      <w:r>
        <w:rPr>
          <w:rFonts w:hint="eastAsia" w:ascii="Times New Roman" w:hAnsi="Times New Roman" w:eastAsia="方正仿宋_GBK" w:cs="Times New Roman"/>
          <w:color w:val="000000" w:themeColor="text1"/>
          <w:sz w:val="24"/>
          <w:highlight w:val="none"/>
          <w:u w:val="single"/>
          <w14:textFill>
            <w14:solidFill>
              <w14:schemeClr w14:val="tx1"/>
            </w14:solidFill>
          </w14:textFill>
        </w:rPr>
        <w:t>九寨沟风景名胜区责任保险（含自然灾害险）采购项目</w:t>
      </w:r>
      <w:r>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t>（二次）</w:t>
      </w:r>
    </w:p>
    <w:p>
      <w:pPr>
        <w:spacing w:after="120" w:line="440" w:lineRule="exact"/>
        <w:ind w:right="31" w:rightChars="15"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w:t>
      </w:r>
      <w:r>
        <w:rPr>
          <w:rFonts w:hint="eastAsia" w:ascii="仿宋" w:eastAsia="仿宋"/>
          <w:b/>
          <w:color w:val="000000" w:themeColor="text1"/>
          <w:sz w:val="24"/>
          <w14:textFill>
            <w14:solidFill>
              <w14:schemeClr w14:val="tx1"/>
            </w14:solidFill>
          </w14:textFill>
        </w:rPr>
        <w:t>采购项目简介：</w:t>
      </w:r>
      <w:bookmarkStart w:id="4" w:name="PO_默认文件内容_2"/>
    </w:p>
    <w:p>
      <w:pPr>
        <w:spacing w:after="120" w:line="440" w:lineRule="exact"/>
        <w:ind w:right="31" w:rightChars="15" w:firstLine="480" w:firstLineChars="200"/>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szCs w:val="28"/>
          <w14:textFill>
            <w14:solidFill>
              <w14:schemeClr w14:val="tx1"/>
            </w14:solidFill>
          </w14:textFill>
        </w:rPr>
        <w:t>（详见磋商文件第</w:t>
      </w:r>
      <w:r>
        <w:rPr>
          <w:rFonts w:hint="eastAsia" w:ascii="仿宋" w:eastAsia="仿宋"/>
          <w:b/>
          <w:bCs/>
          <w:color w:val="000000" w:themeColor="text1"/>
          <w:sz w:val="24"/>
          <w14:textFill>
            <w14:solidFill>
              <w14:schemeClr w14:val="tx1"/>
            </w14:solidFill>
          </w14:textFill>
        </w:rPr>
        <w:t>五</w:t>
      </w:r>
      <w:r>
        <w:rPr>
          <w:rFonts w:hint="eastAsia" w:ascii="仿宋" w:eastAsia="仿宋"/>
          <w:color w:val="000000" w:themeColor="text1"/>
          <w:sz w:val="24"/>
          <w:szCs w:val="28"/>
          <w14:textFill>
            <w14:solidFill>
              <w14:schemeClr w14:val="tx1"/>
            </w14:solidFill>
          </w14:textFill>
        </w:rPr>
        <w:t>章）。</w:t>
      </w:r>
      <w:bookmarkEnd w:id="4"/>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三</w:t>
      </w:r>
      <w:r>
        <w:rPr>
          <w:rFonts w:hint="eastAsia" w:ascii="仿宋" w:eastAsia="仿宋"/>
          <w:b/>
          <w:bCs/>
          <w:color w:val="000000" w:themeColor="text1"/>
          <w:sz w:val="24"/>
          <w14:textFill>
            <w14:solidFill>
              <w14:schemeClr w14:val="tx1"/>
            </w14:solidFill>
          </w14:textFill>
        </w:rPr>
        <w:t>、供应商邀请方式</w:t>
      </w:r>
    </w:p>
    <w:p>
      <w:pPr>
        <w:spacing w:after="120" w:line="440" w:lineRule="exact"/>
        <w:ind w:firstLine="480" w:firstLineChars="200"/>
        <w:rPr>
          <w:rFonts w:ascii="仿宋" w:eastAsia="仿宋"/>
          <w:bCs/>
          <w:color w:val="000000" w:themeColor="text1"/>
          <w:sz w:val="24"/>
          <w14:textFill>
            <w14:solidFill>
              <w14:schemeClr w14:val="tx1"/>
            </w14:solidFill>
          </w14:textFill>
        </w:rPr>
      </w:pPr>
      <w:bookmarkStart w:id="5" w:name="PO_默认文件内容_3"/>
      <w:r>
        <w:rPr>
          <w:rFonts w:hint="eastAsia" w:ascii="仿宋" w:eastAsia="仿宋"/>
          <w:bCs/>
          <w:color w:val="000000" w:themeColor="text1"/>
          <w:sz w:val="24"/>
          <w14:textFill>
            <w14:solidFill>
              <w14:schemeClr w14:val="tx1"/>
            </w14:solidFill>
          </w14:textFill>
        </w:rPr>
        <w:t xml:space="preserve">本次竞争性磋商邀请在九寨沟官方网站（https://www.jiuzhai.com/）上以公告形式发布；   </w:t>
      </w:r>
      <w:bookmarkEnd w:id="5"/>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25"/>
        <w:spacing w:line="420" w:lineRule="exact"/>
        <w:ind w:firstLine="600" w:firstLineChars="250"/>
        <w:rPr>
          <w:rFonts w:ascii="仿宋" w:eastAsia="仿宋"/>
          <w:color w:val="000000" w:themeColor="text1"/>
          <w:sz w:val="24"/>
          <w14:textFill>
            <w14:solidFill>
              <w14:schemeClr w14:val="tx1"/>
            </w14:solidFill>
          </w14:textFill>
        </w:rPr>
      </w:pPr>
      <w:bookmarkStart w:id="6"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25"/>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hint="eastAsia"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7.采购需求部门根据采购项目提出的特殊条件。</w:t>
      </w:r>
    </w:p>
    <w:p>
      <w:pPr>
        <w:spacing w:after="120" w:line="420" w:lineRule="exact"/>
        <w:ind w:firstLine="720" w:firstLineChars="300"/>
        <w:rPr>
          <w:rStyle w:val="23"/>
          <w:rFonts w:ascii="仿宋" w:eastAsia="仿宋"/>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供应商须具有中国保险监督管理委员会批准经营保险业务许可证。</w:t>
      </w:r>
    </w:p>
    <w:p>
      <w:pPr>
        <w:pStyle w:val="25"/>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bookmarkEnd w:id="6"/>
    </w:p>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lang w:val="en-US" w:eastAsia="zh-CN"/>
          <w14:textFill>
            <w14:solidFill>
              <w14:schemeClr w14:val="tx1"/>
            </w14:solidFill>
          </w14:textFill>
        </w:rPr>
        <w:t>3</w:t>
      </w:r>
      <w:r>
        <w:rPr>
          <w:rFonts w:hint="eastAsia" w:ascii="宋体"/>
          <w:b/>
          <w:bCs/>
          <w:color w:val="000000" w:themeColor="text1"/>
          <w:sz w:val="24"/>
          <w:u w:val="single"/>
          <w14:textFill>
            <w14:solidFill>
              <w14:schemeClr w14:val="tx1"/>
            </w14:solidFill>
          </w14:textFill>
        </w:rPr>
        <w:t>年</w:t>
      </w:r>
      <w:r>
        <w:rPr>
          <w:rFonts w:hint="eastAsia" w:ascii="宋体"/>
          <w:b/>
          <w:bCs/>
          <w:color w:val="000000" w:themeColor="text1"/>
          <w:sz w:val="24"/>
          <w:u w:val="single"/>
          <w:lang w:val="en-US" w:eastAsia="zh-CN"/>
          <w14:textFill>
            <w14:solidFill>
              <w14:schemeClr w14:val="tx1"/>
            </w14:solidFill>
          </w14:textFill>
        </w:rPr>
        <w:t>9</w:t>
      </w:r>
      <w:r>
        <w:rPr>
          <w:rFonts w:hint="eastAsia" w:ascii="宋体"/>
          <w:b/>
          <w:bCs/>
          <w:color w:val="000000" w:themeColor="text1"/>
          <w:sz w:val="24"/>
          <w:u w:val="single"/>
          <w14:textFill>
            <w14:solidFill>
              <w14:schemeClr w14:val="tx1"/>
            </w14:solidFill>
          </w14:textFill>
        </w:rPr>
        <w:t>月</w:t>
      </w:r>
      <w:r>
        <w:rPr>
          <w:rFonts w:hint="eastAsia" w:ascii="宋体"/>
          <w:b/>
          <w:bCs/>
          <w:color w:val="000000" w:themeColor="text1"/>
          <w:sz w:val="24"/>
          <w:u w:val="single"/>
          <w:lang w:val="en-US" w:eastAsia="zh-CN"/>
          <w14:textFill>
            <w14:solidFill>
              <w14:schemeClr w14:val="tx1"/>
            </w14:solidFill>
          </w14:textFill>
        </w:rPr>
        <w:t>3</w:t>
      </w:r>
      <w:r>
        <w:rPr>
          <w:rFonts w:hint="eastAsia" w:ascii="宋体"/>
          <w:b/>
          <w:bCs/>
          <w:color w:val="000000" w:themeColor="text1"/>
          <w:sz w:val="24"/>
          <w:u w:val="single"/>
          <w14:textFill>
            <w14:solidFill>
              <w14:schemeClr w14:val="tx1"/>
            </w14:solidFill>
          </w14:textFill>
        </w:rPr>
        <w:t>日至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lang w:val="en-US" w:eastAsia="zh-CN"/>
          <w14:textFill>
            <w14:solidFill>
              <w14:schemeClr w14:val="tx1"/>
            </w14:solidFill>
          </w14:textFill>
        </w:rPr>
        <w:t>3</w:t>
      </w:r>
      <w:r>
        <w:rPr>
          <w:rFonts w:hint="eastAsia" w:ascii="宋体"/>
          <w:b/>
          <w:bCs/>
          <w:color w:val="000000" w:themeColor="text1"/>
          <w:sz w:val="24"/>
          <w:u w:val="single"/>
          <w14:textFill>
            <w14:solidFill>
              <w14:schemeClr w14:val="tx1"/>
            </w14:solidFill>
          </w14:textFill>
        </w:rPr>
        <w:t>年</w:t>
      </w:r>
      <w:r>
        <w:rPr>
          <w:rFonts w:hint="eastAsia" w:ascii="宋体"/>
          <w:b/>
          <w:bCs/>
          <w:color w:val="000000" w:themeColor="text1"/>
          <w:sz w:val="24"/>
          <w:u w:val="single"/>
          <w:lang w:val="en-US" w:eastAsia="zh-CN"/>
          <w14:textFill>
            <w14:solidFill>
              <w14:schemeClr w14:val="tx1"/>
            </w14:solidFill>
          </w14:textFill>
        </w:rPr>
        <w:t>9</w:t>
      </w:r>
      <w:r>
        <w:rPr>
          <w:rFonts w:hint="eastAsia" w:ascii="宋体"/>
          <w:b/>
          <w:bCs/>
          <w:color w:val="000000" w:themeColor="text1"/>
          <w:sz w:val="24"/>
          <w:u w:val="single"/>
          <w14:textFill>
            <w14:solidFill>
              <w14:schemeClr w14:val="tx1"/>
            </w14:solidFill>
          </w14:textFill>
        </w:rPr>
        <w:t>月</w:t>
      </w:r>
      <w:r>
        <w:rPr>
          <w:rFonts w:hint="eastAsia" w:ascii="宋体"/>
          <w:b/>
          <w:bCs/>
          <w:color w:val="000000" w:themeColor="text1"/>
          <w:sz w:val="24"/>
          <w:u w:val="single"/>
          <w:lang w:val="en-US" w:eastAsia="zh-CN"/>
          <w14:textFill>
            <w14:solidFill>
              <w14:schemeClr w14:val="tx1"/>
            </w14:solidFill>
          </w14:textFill>
        </w:rPr>
        <w:t>5</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eastAsia="仿宋"/>
          <w:color w:val="000000" w:themeColor="text1"/>
          <w:sz w:val="24"/>
          <w:lang w:val="en-US" w:eastAsia="zh-CN"/>
          <w14:textFill>
            <w14:solidFill>
              <w14:schemeClr w14:val="tx1"/>
            </w14:solidFill>
          </w14:textFill>
        </w:rPr>
        <w:t>2717132780</w:t>
      </w:r>
      <w:r>
        <w:rPr>
          <w:rFonts w:ascii="宋体"/>
          <w:color w:val="000000" w:themeColor="text1"/>
          <w:sz w:val="24"/>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7"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w:t>
      </w:r>
      <w:bookmarkEnd w:id="7"/>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lang w:eastAsia="zh-CN"/>
          <w14:textFill>
            <w14:solidFill>
              <w14:schemeClr w14:val="tx1"/>
            </w14:solidFill>
          </w14:textFill>
        </w:rPr>
        <w:t>）</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8" w:name="PO_默认文件内容_7"/>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阿坝州九寨沟县漳扎镇九寨沟管理局沟口智慧管理中心三楼多功能厅会议室</w:t>
      </w:r>
      <w:r>
        <w:rPr>
          <w:rFonts w:hint="eastAsia" w:ascii="Times New Roman" w:hAnsi="Times New Roman" w:eastAsia="仿宋" w:cs="Times New Roman"/>
          <w:b/>
          <w:color w:val="000000" w:themeColor="text1"/>
          <w:sz w:val="24"/>
          <w:u w:val="single"/>
          <w:lang w:val="en-US" w:eastAsia="zh-CN"/>
          <w14:textFill>
            <w14:solidFill>
              <w14:schemeClr w14:val="tx1"/>
            </w14:solidFill>
          </w14:textFill>
        </w:rPr>
        <w:t xml:space="preserve"> </w:t>
      </w: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8"/>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9"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日9：30-202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b/>
          <w:bCs/>
          <w:color w:val="000000" w:themeColor="text1"/>
          <w:sz w:val="24"/>
          <w14:textFill>
            <w14:solidFill>
              <w14:schemeClr w14:val="tx1"/>
            </w14:solidFill>
          </w14:textFill>
        </w:rPr>
        <w:t xml:space="preserve"> </w:t>
      </w:r>
      <w:bookmarkEnd w:id="9"/>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color w:val="000000" w:themeColor="text1"/>
          <w:sz w:val="24"/>
          <w:szCs w:val="28"/>
          <w14:textFill>
            <w14:solidFill>
              <w14:schemeClr w14:val="tx1"/>
            </w14:solidFill>
          </w14:textFill>
        </w:rPr>
        <w:t xml:space="preserve"> （北京时间）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hint="eastAsia"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阿坝州九寨沟县漳扎镇九寨沟管理局沟口智慧管理中心三楼多功能厅会议室</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ascii="Times New Roman" w:hAnsi="Times New Roman" w:eastAsia="方正仿宋_GBK" w:cs="Times New Roman"/>
          <w:b/>
          <w:color w:val="000000" w:themeColor="text1"/>
          <w:sz w:val="24"/>
          <w:u w:val="single"/>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lang w:eastAsia="zh-CN"/>
          <w14:textFill>
            <w14:solidFill>
              <w14:schemeClr w14:val="tx1"/>
            </w14:solidFill>
          </w14:textFill>
        </w:rPr>
        <w:t>法规</w:t>
      </w:r>
      <w:r>
        <w:rPr>
          <w:rFonts w:ascii="Times New Roman" w:hAnsi="Times New Roman" w:eastAsia="方正仿宋_GBK" w:cs="Times New Roman"/>
          <w:b/>
          <w:color w:val="000000" w:themeColor="text1"/>
          <w:sz w:val="24"/>
          <w14:textFill>
            <w14:solidFill>
              <w14:schemeClr w14:val="tx1"/>
            </w14:solidFill>
          </w14:textFill>
        </w:rPr>
        <w:t>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firstLineChars="5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杨女士</w:t>
      </w:r>
    </w:p>
    <w:p>
      <w:pPr>
        <w:spacing w:line="560" w:lineRule="exact"/>
        <w:ind w:firstLine="1200"/>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0837-7737676</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7"/>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7"/>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9</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日</w:t>
      </w:r>
    </w:p>
    <w:p>
      <w:pPr>
        <w:pStyle w:val="4"/>
        <w:rPr>
          <w:color w:val="000000" w:themeColor="text1"/>
          <w14:textFill>
            <w14:solidFill>
              <w14:schemeClr w14:val="tx1"/>
            </w14:solidFill>
          </w14:textFill>
        </w:rPr>
      </w:pPr>
      <w:bookmarkStart w:id="10" w:name="_Toc112053977"/>
    </w:p>
    <w:p>
      <w:pPr>
        <w:rPr>
          <w:color w:val="000000" w:themeColor="text1"/>
          <w14:textFill>
            <w14:solidFill>
              <w14:schemeClr w14:val="tx1"/>
            </w14:solidFill>
          </w14:textFill>
        </w:rPr>
      </w:pP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t>第二章  磋商须知</w:t>
      </w:r>
      <w:bookmarkEnd w:id="10"/>
    </w:p>
    <w:p>
      <w:pPr>
        <w:spacing w:before="260" w:after="26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一、供应商须知附表</w:t>
      </w:r>
    </w:p>
    <w:tbl>
      <w:tblPr>
        <w:tblStyle w:val="1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tblHeader/>
          <w:jc w:val="center"/>
        </w:trPr>
        <w:tc>
          <w:tcPr>
            <w:tcW w:w="1013" w:type="dxa"/>
            <w:vAlign w:val="center"/>
          </w:tcPr>
          <w:p>
            <w:pPr>
              <w:pStyle w:val="27"/>
              <w:ind w:left="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序号</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应知事项</w:t>
            </w:r>
          </w:p>
        </w:tc>
        <w:tc>
          <w:tcPr>
            <w:tcW w:w="6084" w:type="dxa"/>
            <w:vAlign w:val="center"/>
          </w:tcPr>
          <w:p>
            <w:pPr>
              <w:pStyle w:val="27"/>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采购预算</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1" w:name="PO_预算分包信息_1"/>
            <w:r>
              <w:rPr>
                <w:rFonts w:ascii="仿宋" w:eastAsia="仿宋"/>
                <w:color w:val="000000" w:themeColor="text1"/>
                <w:szCs w:val="21"/>
                <w14:textFill>
                  <w14:solidFill>
                    <w14:schemeClr w14:val="tx1"/>
                  </w14:solidFill>
                </w14:textFill>
              </w:rPr>
              <w:t>1包采购预算：</w:t>
            </w:r>
            <w:r>
              <w:rPr>
                <w:rFonts w:hint="eastAsia" w:ascii="宋体" w:eastAsia="仿宋"/>
                <w:b/>
                <w:bCs/>
                <w:color w:val="000000" w:themeColor="text1"/>
                <w:sz w:val="24"/>
                <w:lang w:val="en-US" w:eastAsia="zh-CN"/>
                <w14:textFill>
                  <w14:solidFill>
                    <w14:schemeClr w14:val="tx1"/>
                  </w14:solidFill>
                </w14:textFill>
              </w:rPr>
              <w:t>28</w:t>
            </w:r>
            <w:r>
              <w:rPr>
                <w:rFonts w:ascii="仿宋" w:eastAsia="仿宋"/>
                <w:color w:val="000000" w:themeColor="text1"/>
                <w:szCs w:val="21"/>
                <w14:textFill>
                  <w14:solidFill>
                    <w14:schemeClr w14:val="tx1"/>
                  </w14:solidFill>
                </w14:textFill>
              </w:rPr>
              <w:t xml:space="preserve">万元 </w:t>
            </w:r>
            <w:bookmarkEnd w:id="11"/>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最高限价</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2" w:name="PO_限价分包信息_1"/>
            <w:r>
              <w:rPr>
                <w:rFonts w:ascii="仿宋" w:eastAsia="仿宋"/>
                <w:color w:val="000000" w:themeColor="text1"/>
                <w:szCs w:val="21"/>
                <w14:textFill>
                  <w14:solidFill>
                    <w14:schemeClr w14:val="tx1"/>
                  </w14:solidFill>
                </w14:textFill>
              </w:rPr>
              <w:t>1包最高限价：</w:t>
            </w:r>
            <w:r>
              <w:rPr>
                <w:rFonts w:ascii="宋体"/>
                <w:b/>
                <w:bCs/>
                <w:color w:val="000000" w:themeColor="text1"/>
                <w:sz w:val="24"/>
                <w14:textFill>
                  <w14:solidFill>
                    <w14:schemeClr w14:val="tx1"/>
                  </w14:solidFill>
                </w14:textFill>
              </w:rPr>
              <w:t>2</w:t>
            </w:r>
            <w:r>
              <w:rPr>
                <w:rFonts w:hint="eastAsia" w:ascii="宋体"/>
                <w:b/>
                <w:bCs/>
                <w:color w:val="000000" w:themeColor="text1"/>
                <w:sz w:val="24"/>
                <w:lang w:val="en-US" w:eastAsia="zh-CN"/>
                <w14:textFill>
                  <w14:solidFill>
                    <w14:schemeClr w14:val="tx1"/>
                  </w14:solidFill>
                </w14:textFill>
              </w:rPr>
              <w:t>8</w:t>
            </w:r>
            <w:r>
              <w:rPr>
                <w:rFonts w:ascii="仿宋" w:eastAsia="仿宋"/>
                <w:color w:val="000000" w:themeColor="text1"/>
                <w:szCs w:val="21"/>
                <w14:textFill>
                  <w14:solidFill>
                    <w14:schemeClr w14:val="tx1"/>
                  </w14:solidFill>
                </w14:textFill>
              </w:rPr>
              <w:t xml:space="preserve">万元 </w:t>
            </w:r>
            <w:bookmarkEnd w:id="12"/>
          </w:p>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3" w:name="PO_默认文件内容_8"/>
            <w:r>
              <w:rPr>
                <w:rFonts w:hint="eastAsia" w:ascii="仿宋" w:eastAsia="仿宋"/>
                <w:color w:val="000000" w:themeColor="text1"/>
                <w:szCs w:val="21"/>
                <w14:textFill>
                  <w14:solidFill>
                    <w14:schemeClr w14:val="tx1"/>
                  </w14:solidFill>
                </w14:textFill>
              </w:rPr>
              <w:t>超过最高</w:t>
            </w:r>
            <w:r>
              <w:rPr>
                <w:rFonts w:ascii="仿宋" w:eastAsia="仿宋"/>
                <w:color w:val="000000" w:themeColor="text1"/>
                <w:szCs w:val="21"/>
                <w14:textFill>
                  <w14:solidFill>
                    <w14:schemeClr w14:val="tx1"/>
                  </w14:solidFill>
                </w14:textFill>
              </w:rPr>
              <w:t>限价</w:t>
            </w:r>
            <w:r>
              <w:rPr>
                <w:rFonts w:hint="eastAsia" w:ascii="仿宋" w:eastAsia="仿宋"/>
                <w:color w:val="000000" w:themeColor="text1"/>
                <w:szCs w:val="21"/>
                <w14:textFill>
                  <w14:solidFill>
                    <w14:schemeClr w14:val="tx1"/>
                  </w14:solidFill>
                </w14:textFill>
              </w:rPr>
              <w:t>的报价,其响应文件按无效处理。</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3</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不正当竞争预防措施</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4" w:name="PO_默认文件内容_111"/>
            <w:r>
              <w:rPr>
                <w:rFonts w:hint="eastAsia" w:ascii="仿宋" w:eastAsia="仿宋"/>
                <w:color w:val="000000" w:themeColor="text1"/>
                <w:szCs w:val="21"/>
                <w14:textFill>
                  <w14:solidFill>
                    <w14:schemeClr w14:val="tx1"/>
                  </w14:solidFill>
                </w14:textFill>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4</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磋商情况公告</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5" w:name="PO_默认文件内容_16"/>
            <w:r>
              <w:rPr>
                <w:rFonts w:hint="eastAsia" w:ascii="仿宋" w:eastAsia="仿宋"/>
                <w:color w:val="000000" w:themeColor="text1"/>
                <w:szCs w:val="21"/>
                <w14:textFill>
                  <w14:solidFill>
                    <w14:schemeClr w14:val="tx1"/>
                  </w14:solidFill>
                </w14:textFill>
              </w:rPr>
              <w:t>供应商资格审查情况、、磋商结果等在九寨沟景区官方网站上</w:t>
            </w:r>
            <w:bookmarkEnd w:id="15"/>
            <w:r>
              <w:rPr>
                <w:rFonts w:hint="eastAsia" w:ascii="仿宋" w:eastAsia="仿宋"/>
                <w:color w:val="000000" w:themeColor="text1"/>
                <w:szCs w:val="21"/>
                <w:lang w:val="zh-CN"/>
                <w14:textFill>
                  <w14:solidFill>
                    <w14:schemeClr w14:val="tx1"/>
                  </w14:solidFill>
                </w14:textFill>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5</w:t>
            </w:r>
          </w:p>
        </w:tc>
        <w:tc>
          <w:tcPr>
            <w:tcW w:w="2409" w:type="dxa"/>
            <w:vAlign w:val="center"/>
          </w:tcPr>
          <w:p>
            <w:pPr>
              <w:ind w:firstLine="630" w:firstLineChars="300"/>
              <w:jc w:val="left"/>
              <w:rPr>
                <w:rFonts w:ascii="仿宋" w:eastAsia="仿宋" w:cs="宋体"/>
                <w:color w:val="000000" w:themeColor="text1"/>
                <w:szCs w:val="21"/>
                <w:lang w:val="zh-CN"/>
                <w14:textFill>
                  <w14:solidFill>
                    <w14:schemeClr w14:val="tx1"/>
                  </w14:solidFill>
                </w14:textFill>
              </w:rPr>
            </w:pPr>
            <w:r>
              <w:rPr>
                <w:rFonts w:hint="eastAsia" w:ascii="仿宋" w:eastAsia="仿宋" w:cs="宋体"/>
                <w:color w:val="000000" w:themeColor="text1"/>
                <w:szCs w:val="21"/>
                <w:lang w:val="zh-CN"/>
                <w14:textFill>
                  <w14:solidFill>
                    <w14:schemeClr w14:val="tx1"/>
                  </w14:solidFill>
                </w14:textFill>
              </w:rPr>
              <w:t>合同分包</w:t>
            </w:r>
          </w:p>
          <w:p>
            <w:pPr>
              <w:pStyle w:val="27"/>
              <w:ind w:left="38"/>
              <w:jc w:val="center"/>
              <w:rPr>
                <w:rFonts w:ascii="仿宋" w:eastAsia="仿宋"/>
                <w:b/>
                <w:bCs/>
                <w:color w:val="000000" w:themeColor="text1"/>
                <w:sz w:val="21"/>
                <w:szCs w:val="21"/>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本项目不接受合同分包。</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□本项目接受合同分包，具体要求如下：</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1.</w:t>
            </w:r>
            <w:r>
              <w:rPr>
                <w:rFonts w:hint="eastAsia" w:ascii="仿宋" w:eastAsia="仿宋"/>
                <w:color w:val="000000" w:themeColor="text1"/>
                <w:szCs w:val="21"/>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000000" w:themeColor="text1"/>
                <w:szCs w:val="21"/>
                <w:lang w:val="zh-CN"/>
                <w14:textFill>
                  <w14:solidFill>
                    <w14:schemeClr w14:val="tx1"/>
                  </w14:solidFill>
                </w14:textFill>
              </w:rPr>
            </w:pPr>
            <w:r>
              <w:rPr>
                <w:rFonts w:ascii="仿宋" w:eastAsia="仿宋"/>
                <w:color w:val="000000" w:themeColor="text1"/>
                <w:szCs w:val="21"/>
                <w14:textFill>
                  <w14:solidFill>
                    <w14:schemeClr w14:val="tx1"/>
                  </w14:solidFill>
                </w14:textFill>
              </w:rPr>
              <w:t>2.</w:t>
            </w:r>
            <w:r>
              <w:rPr>
                <w:rFonts w:hint="eastAsia" w:ascii="仿宋" w:eastAsia="仿宋"/>
                <w:color w:val="000000" w:themeColor="text1"/>
                <w:szCs w:val="21"/>
                <w14:textFill>
                  <w14:solidFill>
                    <w14:schemeClr w14:val="tx1"/>
                  </w14:solidFill>
                </w14:textFill>
              </w:rPr>
              <w:t>分包履行合同的部分应当为采购项目的非主体、非关键性工作，不属于成交供应商的主要合同义务。本</w:t>
            </w:r>
            <w:r>
              <w:rPr>
                <w:rFonts w:ascii="仿宋" w:eastAsia="仿宋"/>
                <w:color w:val="000000" w:themeColor="text1"/>
                <w:szCs w:val="21"/>
                <w14:textFill>
                  <w14:solidFill>
                    <w14:schemeClr w14:val="tx1"/>
                  </w14:solidFill>
                </w14:textFill>
              </w:rPr>
              <w:t>项目</w:t>
            </w:r>
            <w:r>
              <w:rPr>
                <w:rFonts w:hint="eastAsia" w:ascii="仿宋" w:eastAsia="仿宋"/>
                <w:color w:val="000000" w:themeColor="text1"/>
                <w:szCs w:val="21"/>
                <w14:textFill>
                  <w14:solidFill>
                    <w14:schemeClr w14:val="tx1"/>
                  </w14:solidFill>
                </w14:textFill>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6</w:t>
            </w:r>
          </w:p>
        </w:tc>
        <w:tc>
          <w:tcPr>
            <w:tcW w:w="2409" w:type="dxa"/>
            <w:vAlign w:val="center"/>
          </w:tcPr>
          <w:p>
            <w:pPr>
              <w:pStyle w:val="27"/>
              <w:ind w:left="38"/>
              <w:jc w:val="center"/>
              <w:rPr>
                <w:rFonts w:ascii="仿宋" w:eastAsia="仿宋"/>
                <w:b/>
                <w:color w:val="000000" w:themeColor="text1"/>
                <w:sz w:val="21"/>
                <w:szCs w:val="21"/>
                <w:lang w:val="zh-CN"/>
                <w14:textFill>
                  <w14:solidFill>
                    <w14:schemeClr w14:val="tx1"/>
                  </w14:solidFill>
                </w14:textFill>
              </w:rPr>
            </w:pPr>
            <w:r>
              <w:rPr>
                <w:rFonts w:hint="eastAsia" w:ascii="仿宋" w:eastAsia="仿宋"/>
                <w:b/>
                <w:bCs/>
                <w:color w:val="000000" w:themeColor="text1"/>
                <w:sz w:val="21"/>
                <w:szCs w:val="21"/>
                <w14:textFill>
                  <w14:solidFill>
                    <w14:schemeClr w14:val="tx1"/>
                  </w14:solidFill>
                </w14:textFill>
              </w:rPr>
              <w:t>磋商</w:t>
            </w:r>
            <w:r>
              <w:rPr>
                <w:rFonts w:hint="eastAsia" w:ascii="仿宋" w:eastAsia="仿宋"/>
                <w:b/>
                <w:color w:val="000000" w:themeColor="text1"/>
                <w:sz w:val="21"/>
                <w:szCs w:val="21"/>
                <w:lang w:val="zh-CN"/>
                <w14:textFill>
                  <w14:solidFill>
                    <w14:schemeClr w14:val="tx1"/>
                  </w14:solidFill>
                </w14:textFill>
              </w:rPr>
              <w:t>咨询</w:t>
            </w:r>
          </w:p>
        </w:tc>
        <w:tc>
          <w:tcPr>
            <w:tcW w:w="6084" w:type="dxa"/>
            <w:vAlign w:val="center"/>
          </w:tcPr>
          <w:p>
            <w:pPr>
              <w:pStyle w:val="27"/>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 w:val="21"/>
                <w:szCs w:val="21"/>
                <w:lang w:val="en-US" w:eastAsia="zh-CN"/>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0837-</w:t>
            </w:r>
            <w:r>
              <w:rPr>
                <w:rFonts w:hint="eastAsia" w:ascii="仿宋" w:eastAsia="仿宋"/>
                <w:color w:val="000000" w:themeColor="text1"/>
                <w:szCs w:val="21"/>
                <w14:textFill>
                  <w14:solidFill>
                    <w14:schemeClr w14:val="tx1"/>
                  </w14:solidFill>
                </w14:textFill>
              </w:rPr>
              <w:t>7739707</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7</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成交通知书领取</w:t>
            </w:r>
          </w:p>
        </w:tc>
        <w:tc>
          <w:tcPr>
            <w:tcW w:w="6084" w:type="dxa"/>
            <w:vAlign w:val="center"/>
          </w:tcPr>
          <w:p>
            <w:pPr>
              <w:pStyle w:val="27"/>
              <w:ind w:right="230"/>
              <w:jc w:val="both"/>
              <w:rPr>
                <w:rFonts w:ascii="仿宋" w:eastAsia="仿宋" w:cs="Courier New"/>
                <w:color w:val="000000" w:themeColor="text1"/>
                <w:sz w:val="21"/>
                <w:szCs w:val="21"/>
                <w:lang w:val="zh-CN"/>
                <w14:textFill>
                  <w14:solidFill>
                    <w14:schemeClr w14:val="tx1"/>
                  </w14:solidFill>
                </w14:textFill>
              </w:rPr>
            </w:pPr>
            <w:bookmarkStart w:id="16" w:name="PO_默认文件内容_18"/>
            <w:r>
              <w:rPr>
                <w:rFonts w:hint="eastAsia" w:ascii="仿宋" w:eastAsia="仿宋" w:cs="Courier New"/>
                <w:color w:val="000000" w:themeColor="text1"/>
                <w:sz w:val="21"/>
                <w:szCs w:val="21"/>
                <w:lang w:val="zh-CN"/>
                <w14:textFill>
                  <w14:solidFill>
                    <w14:schemeClr w14:val="tx1"/>
                  </w14:solidFill>
                </w14:textFill>
              </w:rPr>
              <w:t>采购结果公告在</w:t>
            </w:r>
            <w:r>
              <w:rPr>
                <w:rFonts w:hint="eastAsia" w:ascii="仿宋" w:eastAsia="仿宋"/>
                <w:color w:val="000000" w:themeColor="text1"/>
                <w:sz w:val="21"/>
                <w:szCs w:val="21"/>
                <w:u w:val="single"/>
                <w:lang w:val="zh-CN"/>
                <w14:textFill>
                  <w14:solidFill>
                    <w14:schemeClr w14:val="tx1"/>
                  </w14:solidFill>
                </w14:textFill>
              </w:rPr>
              <w:t>九寨沟景区官方网站</w:t>
            </w:r>
            <w:r>
              <w:rPr>
                <w:rFonts w:hint="eastAsia" w:ascii="仿宋" w:eastAsia="仿宋" w:cs="Courier New"/>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 w:val="21"/>
                <w:szCs w:val="21"/>
                <w:lang w:val="en-US" w:eastAsia="zh-CN"/>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eastAsia="仿宋"/>
                <w:color w:val="000000" w:themeColor="text1"/>
                <w:sz w:val="21"/>
                <w:szCs w:val="21"/>
                <w14:textFill>
                  <w14:solidFill>
                    <w14:schemeClr w14:val="tx1"/>
                  </w14:solidFill>
                </w14:textFill>
              </w:rPr>
              <w:t>0837-7739707</w:t>
            </w:r>
            <w:r>
              <w:rPr>
                <w:rFonts w:hint="eastAsia" w:ascii="仿宋" w:eastAsia="仿宋"/>
                <w:color w:val="000000" w:themeColor="text1"/>
                <w:sz w:val="21"/>
                <w:szCs w:val="21"/>
                <w:lang w:val="zh-CN"/>
                <w14:textFill>
                  <w14:solidFill>
                    <w14:schemeClr w14:val="tx1"/>
                  </w14:solidFill>
                </w14:textFill>
              </w:rPr>
              <w:t>。</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8</w:t>
            </w:r>
          </w:p>
        </w:tc>
        <w:tc>
          <w:tcPr>
            <w:tcW w:w="2409" w:type="dxa"/>
            <w:vAlign w:val="center"/>
          </w:tcPr>
          <w:p>
            <w:pPr>
              <w:pStyle w:val="27"/>
              <w:ind w:left="96"/>
              <w:jc w:val="center"/>
              <w:rPr>
                <w:rFonts w:ascii="仿宋" w:eastAsia="仿宋" w:cs="Courier New"/>
                <w:b/>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联合</w:t>
            </w:r>
            <w:r>
              <w:rPr>
                <w:rFonts w:ascii="仿宋" w:eastAsia="仿宋"/>
                <w:color w:val="000000" w:themeColor="text1"/>
                <w:sz w:val="21"/>
                <w:szCs w:val="21"/>
                <w:lang w:val="zh-CN"/>
                <w14:textFill>
                  <w14:solidFill>
                    <w14:schemeClr w14:val="tx1"/>
                  </w14:solidFill>
                </w14:textFill>
              </w:rPr>
              <w:t>体</w:t>
            </w: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r>
              <w:rPr>
                <w:rFonts w:ascii="仿宋" w:eastAsia="仿宋"/>
                <w:color w:val="000000" w:themeColor="text1"/>
                <w:szCs w:val="21"/>
                <w14:textFill>
                  <w14:solidFill>
                    <w14:schemeClr w14:val="tx1"/>
                  </w14:solidFill>
                </w14:textFill>
              </w:rPr>
              <w:t xml:space="preserve">    </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9</w:t>
            </w:r>
          </w:p>
        </w:tc>
        <w:tc>
          <w:tcPr>
            <w:tcW w:w="2409" w:type="dxa"/>
            <w:vAlign w:val="center"/>
          </w:tcPr>
          <w:p>
            <w:pPr>
              <w:pStyle w:val="27"/>
              <w:ind w:right="230"/>
              <w:jc w:val="center"/>
              <w:rPr>
                <w:rFonts w:ascii="仿宋" w:eastAsia="仿宋"/>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供应商质疑</w:t>
            </w:r>
          </w:p>
        </w:tc>
        <w:tc>
          <w:tcPr>
            <w:tcW w:w="6084" w:type="dxa"/>
            <w:vAlign w:val="center"/>
          </w:tcPr>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供应商质疑由采购组织部门负责答复。</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zh-CN"/>
                <w14:textFill>
                  <w14:solidFill>
                    <w14:schemeClr w14:val="tx1"/>
                  </w14:solidFill>
                </w14:textFill>
              </w:rPr>
              <w:t>杜先生</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联系电话：0837-7739707。</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注：根据《中华人民共和国政府采购法》的规定，供应商质疑不得超出磋商文件文件、磋商过程、磋商结果的范围。</w:t>
            </w:r>
          </w:p>
        </w:tc>
      </w:tr>
    </w:tbl>
    <w:p>
      <w:pPr>
        <w:spacing w:line="401" w:lineRule="auto"/>
        <w:jc w:val="center"/>
        <w:rPr>
          <w:rFonts w:ascii="Times New Roman" w:hAnsi="Times New Roman" w:eastAsia="仿宋" w:cs="Times New Roman"/>
          <w:b/>
          <w:color w:val="000000" w:themeColor="text1"/>
          <w:sz w:val="32"/>
          <w14:textFill>
            <w14:solidFill>
              <w14:schemeClr w14:val="tx1"/>
            </w14:solidFill>
          </w14:textFill>
        </w:rPr>
      </w:pP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二、总  则</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17" w:name="PO_默认文件内容_22"/>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szCs w:val="24"/>
          <w14:textFill>
            <w14:solidFill>
              <w14:schemeClr w14:val="tx1"/>
            </w14:solidFill>
          </w14:textFill>
        </w:rPr>
        <w:t>适用范围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 本磋商文件的解释权归采购需求部门和采购组织部门所有。</w:t>
      </w:r>
      <w:bookmarkEnd w:id="17"/>
    </w:p>
    <w:p>
      <w:pPr>
        <w:pStyle w:val="6"/>
        <w:keepNext w:val="0"/>
        <w:keepLines w:val="0"/>
        <w:spacing w:before="0" w:after="0" w:line="400" w:lineRule="exact"/>
        <w:rPr>
          <w:rFonts w:ascii="仿宋" w:eastAsia="仿宋"/>
          <w:color w:val="000000" w:themeColor="text1"/>
          <w:sz w:val="24"/>
          <w14:textFill>
            <w14:solidFill>
              <w14:schemeClr w14:val="tx1"/>
            </w14:solidFill>
          </w14:textFill>
        </w:rPr>
      </w:pPr>
      <w:bookmarkStart w:id="18" w:name="_Toc217446035"/>
      <w:bookmarkStart w:id="19" w:name="_Toc183582206"/>
      <w:bookmarkStart w:id="20" w:name="_Toc183682343"/>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bookmarkEnd w:id="18"/>
      <w:bookmarkEnd w:id="19"/>
      <w:bookmarkEnd w:id="20"/>
      <w:r>
        <w:rPr>
          <w:rFonts w:hint="eastAsia" w:asci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1本次磋商的采购需求部门是</w:t>
      </w:r>
      <w:bookmarkStart w:id="21" w:name="PO_采购人_4"/>
      <w:r>
        <w:rPr>
          <w:rFonts w:hint="eastAsia" w:ascii="仿宋" w:eastAsia="仿宋"/>
          <w:color w:val="000000" w:themeColor="text1"/>
          <w:sz w:val="24"/>
          <w:u w:val="single"/>
          <w14:textFill>
            <w14:solidFill>
              <w14:schemeClr w14:val="tx1"/>
            </w14:solidFill>
          </w14:textFill>
        </w:rPr>
        <w:t>九寨沟风景名胜区管理局</w:t>
      </w:r>
      <w:bookmarkEnd w:id="21"/>
      <w:r>
        <w:rPr>
          <w:rFonts w:hint="eastAsia" w:ascii="仿宋" w:eastAsia="仿宋"/>
          <w:color w:val="000000" w:themeColor="text1"/>
          <w:sz w:val="24"/>
          <w:u w:val="single"/>
          <w:lang w:eastAsia="zh-CN"/>
          <w14:textFill>
            <w14:solidFill>
              <w14:schemeClr w14:val="tx1"/>
            </w14:solidFill>
          </w14:textFill>
        </w:rPr>
        <w:t>法规</w:t>
      </w:r>
      <w:r>
        <w:rPr>
          <w:rFonts w:ascii="Times New Roman" w:hAnsi="Times New Roman" w:eastAsia="方正仿宋_GBK" w:cs="Times New Roman"/>
          <w:color w:val="000000" w:themeColor="text1"/>
          <w:sz w:val="24"/>
          <w:u w:val="single"/>
          <w14:textFill>
            <w14:solidFill>
              <w14:schemeClr w14:val="tx1"/>
            </w14:solidFill>
          </w14:textFill>
        </w:rPr>
        <w:t>处</w:t>
      </w:r>
      <w:r>
        <w:rPr>
          <w:rFonts w:hint="eastAsia" w:asci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2本次磋商的采购组织部门是九寨沟风景名胜区管理局机关事务管理处。</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2" w:name="_Toc183682344"/>
      <w:bookmarkStart w:id="23" w:name="_Toc217446036"/>
      <w:bookmarkStart w:id="24" w:name="_Toc217390843"/>
      <w:bookmarkStart w:id="25" w:name="_Toc183582207"/>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合格</w:t>
      </w:r>
      <w:bookmarkEnd w:id="22"/>
      <w:bookmarkEnd w:id="23"/>
      <w:bookmarkEnd w:id="24"/>
      <w:bookmarkEnd w:id="25"/>
      <w:r>
        <w:rPr>
          <w:rFonts w:hint="eastAsia" w:ascii="仿宋" w:eastAsia="仿宋"/>
          <w:color w:val="000000" w:themeColor="text1"/>
          <w:sz w:val="24"/>
          <w14:textFill>
            <w14:solidFill>
              <w14:schemeClr w14:val="tx1"/>
            </w14:solidFill>
          </w14:textFill>
        </w:rPr>
        <w:t>供应商</w:t>
      </w:r>
    </w:p>
    <w:p>
      <w:pPr>
        <w:tabs>
          <w:tab w:val="left" w:pos="7665"/>
        </w:tabs>
        <w:spacing w:line="40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合格供应商应具备以下条件：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 具备法律法规和本采购文件规定的资格条件；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 不属于禁止参加本项目采购活动的供应商；</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w:t>
      </w:r>
      <w:r>
        <w:rPr>
          <w:rFonts w:hint="eastAsia" w:ascii="仿宋" w:eastAsia="仿宋"/>
          <w:color w:val="000000" w:themeColor="text1"/>
          <w:spacing w:val="-4"/>
          <w:sz w:val="24"/>
          <w14:textFill>
            <w14:solidFill>
              <w14:schemeClr w14:val="tx1"/>
            </w14:solidFill>
          </w14:textFill>
        </w:rPr>
        <w:t>按照规定报名领取了采购文件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6" w:name="_Toc217446037"/>
      <w:bookmarkStart w:id="27" w:name="_Toc183582208"/>
      <w:bookmarkStart w:id="28" w:name="_Toc183682345"/>
      <w:r>
        <w:rPr>
          <w:rFonts w:hint="eastAsia" w:ascii="仿宋" w:eastAsia="仿宋"/>
          <w:color w:val="000000" w:themeColor="text1"/>
          <w:sz w:val="24"/>
          <w14:textFill>
            <w14:solidFill>
              <w14:schemeClr w14:val="tx1"/>
            </w14:solidFill>
          </w14:textFill>
        </w:rPr>
        <w:t>4. 磋商费用</w:t>
      </w:r>
      <w:bookmarkEnd w:id="26"/>
      <w:bookmarkEnd w:id="27"/>
      <w:bookmarkEnd w:id="28"/>
      <w:r>
        <w:rPr>
          <w:rFonts w:hint="eastAsia" w:ascii="仿宋" w:eastAsia="仿宋"/>
          <w:color w:val="000000" w:themeColor="text1"/>
          <w:sz w:val="24"/>
          <w14:textFill>
            <w14:solidFill>
              <w14:schemeClr w14:val="tx1"/>
            </w14:solidFill>
          </w14:textFill>
        </w:rPr>
        <w:t>（实质性要求）</w:t>
      </w:r>
    </w:p>
    <w:p>
      <w:pPr>
        <w:tabs>
          <w:tab w:val="left" w:pos="7665"/>
        </w:tabs>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供应商应自行承担参加磋商活动的全部费用。</w:t>
      </w:r>
    </w:p>
    <w:p>
      <w:pPr>
        <w:rPr>
          <w:rFonts w:ascii="仿宋" w:eastAsia="仿宋"/>
          <w:color w:val="000000" w:themeColor="text1"/>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5.充分、公平竞争保障措施（实质性要求）</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5.5供应商与采购组织部门存在关联关系，不得参加本项目政府采购活动。</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5.6回避。采购活动中，采购人员及相关人员与供应商有下列利害关系之一的，应当回避：</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（1）与供应商的法定代表人或者负责人有夫妻、直系血亲关系；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（2）与供应商有其他可能影响采购活动公平、公正进行的关系。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6.联合体竞争性磋商（仅适用于允许联合体参与的项目）</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联合体各方应当共同与采购需求部门签订采购合同，就采购合同约定的事项对采购需求部门承担连带责任。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7.响应文件有效期（实质性要求）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本项目响应文件有效期为递交磋商响应文件截止之日起</w:t>
      </w:r>
      <w:r>
        <w:rPr>
          <w:rFonts w:hint="eastAsia" w:ascii="仿宋" w:eastAsia="仿宋"/>
          <w:color w:val="000000" w:themeColor="text1"/>
          <w:sz w:val="24"/>
          <w:u w:val="single"/>
          <w:lang w:val="en-US" w:eastAsia="zh-CN"/>
          <w14:textFill>
            <w14:solidFill>
              <w14:schemeClr w14:val="tx1"/>
            </w14:solidFill>
          </w14:textFill>
        </w:rPr>
        <w:t>90</w:t>
      </w:r>
      <w:r>
        <w:rPr>
          <w:rFonts w:hint="eastAsia" w:asci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color w:val="000000" w:themeColor="text1"/>
          <w:sz w:val="24"/>
          <w14:textFill>
            <w14:solidFill>
              <w14:schemeClr w14:val="tx1"/>
            </w14:solidFill>
          </w14:textFill>
        </w:rPr>
      </w:pPr>
    </w:p>
    <w:p>
      <w:pPr>
        <w:pStyle w:val="10"/>
        <w:spacing w:line="400" w:lineRule="exact"/>
        <w:ind w:firstLine="482" w:firstLineChars="200"/>
        <w:rPr>
          <w:rFonts w:ascii="仿宋" w:eastAsia="仿宋"/>
          <w:b/>
          <w:bCs/>
          <w:color w:val="000000" w:themeColor="text1"/>
          <w:sz w:val="24"/>
          <w:szCs w:val="24"/>
          <w14:textFill>
            <w14:solidFill>
              <w14:schemeClr w14:val="tx1"/>
            </w14:solidFill>
          </w14:textFill>
        </w:rPr>
      </w:pPr>
      <w:r>
        <w:rPr>
          <w:rFonts w:hint="eastAsia" w:ascii="仿宋" w:eastAsia="仿宋"/>
          <w:b/>
          <w:color w:val="000000" w:themeColor="text1"/>
          <w:sz w:val="24"/>
          <w14:textFill>
            <w14:solidFill>
              <w14:schemeClr w14:val="tx1"/>
            </w14:solidFill>
          </w14:textFill>
        </w:rPr>
        <w:t>8.</w:t>
      </w:r>
      <w:r>
        <w:rPr>
          <w:rFonts w:hint="eastAsia" w:ascii="仿宋" w:eastAsia="仿宋"/>
          <w:b/>
          <w:bCs/>
          <w:color w:val="000000" w:themeColor="text1"/>
          <w:sz w:val="24"/>
          <w:szCs w:val="24"/>
          <w14:textFill>
            <w14:solidFill>
              <w14:schemeClr w14:val="tx1"/>
            </w14:solidFill>
          </w14:textFill>
        </w:rPr>
        <w:t>知识产权（实质性要求）</w:t>
      </w:r>
    </w:p>
    <w:p>
      <w:pPr>
        <w:pStyle w:val="10"/>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承担所有相关责任。</w:t>
      </w:r>
    </w:p>
    <w:p>
      <w:pPr>
        <w:pStyle w:val="10"/>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.2</w:t>
      </w:r>
      <w:r>
        <w:rPr>
          <w:rFonts w:hint="eastAsia" w:ascii="仿宋" w:eastAsia="仿宋"/>
          <w:color w:val="000000" w:themeColor="text1"/>
          <w:sz w:val="24"/>
          <w:szCs w:val="24"/>
          <w14:textFill>
            <w14:solidFill>
              <w14:schemeClr w14:val="tx1"/>
            </w14:solidFill>
          </w14:textFill>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.4</w:t>
      </w:r>
      <w:r>
        <w:rPr>
          <w:rFonts w:hint="eastAsia" w:asci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三、磋商文件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9．磋商文件的构成（实质性要求）</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hint="eastAsia"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9" w:name="_Toc183682348"/>
      <w:bookmarkStart w:id="30" w:name="_Toc183582211"/>
      <w:bookmarkStart w:id="31" w:name="_Toc217446040"/>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 磋商文件的澄清</w:t>
      </w:r>
      <w:bookmarkEnd w:id="29"/>
      <w:bookmarkEnd w:id="30"/>
      <w:r>
        <w:rPr>
          <w:rFonts w:hint="eastAsia" w:ascii="仿宋" w:eastAsia="仿宋"/>
          <w:color w:val="000000" w:themeColor="text1"/>
          <w:sz w:val="24"/>
          <w14:textFill>
            <w14:solidFill>
              <w14:schemeClr w14:val="tx1"/>
            </w14:solidFill>
          </w14:textFill>
        </w:rPr>
        <w:t>和修改</w:t>
      </w:r>
      <w:bookmarkEnd w:id="31"/>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000000" w:themeColor="text1"/>
          <w:sz w:val="24"/>
          <w14:textFill>
            <w14:solidFill>
              <w14:schemeClr w14:val="tx1"/>
            </w14:solidFill>
          </w14:textFill>
        </w:rPr>
        <w:t>提交</w:t>
      </w:r>
      <w:r>
        <w:rPr>
          <w:rFonts w:hint="eastAsia" w:ascii="仿宋" w:eastAsia="仿宋"/>
          <w:color w:val="000000" w:themeColor="text1"/>
          <w:sz w:val="24"/>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10.4供应商认为需要对磋商文件进行澄清或者修改的，可以以书面形式向采购需求部门或采购组织部门提出申请，由采购需求部门或采购组织部门决定是否采纳供应商的申请事项。</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2" w:name="_Toc208848971"/>
      <w:bookmarkStart w:id="33" w:name="_Toc217446041"/>
      <w:r>
        <w:rPr>
          <w:rFonts w:hint="eastAsia" w:ascii="仿宋" w:eastAsia="仿宋"/>
          <w:color w:val="000000" w:themeColor="text1"/>
          <w:sz w:val="24"/>
          <w14:textFill>
            <w14:solidFill>
              <w14:schemeClr w14:val="tx1"/>
            </w14:solidFill>
          </w14:textFill>
        </w:rPr>
        <w:t>11. 答疑会和现场考察</w:t>
      </w:r>
      <w:bookmarkEnd w:id="32"/>
      <w:bookmarkEnd w:id="33"/>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3供应商考察现场或者参加答疑会所发生的一切费用由供应商自己承担。</w:t>
      </w:r>
    </w:p>
    <w:p>
      <w:pPr>
        <w:pStyle w:val="4"/>
        <w:keepNext w:val="0"/>
        <w:keepLines w:val="0"/>
        <w:spacing w:before="0" w:after="0" w:line="400" w:lineRule="exact"/>
        <w:jc w:val="center"/>
        <w:rPr>
          <w:rFonts w:ascii="仿宋" w:eastAsia="仿宋"/>
          <w:bCs w:val="0"/>
          <w:color w:val="000000" w:themeColor="text1"/>
          <w14:textFill>
            <w14:solidFill>
              <w14:schemeClr w14:val="tx1"/>
            </w14:solidFill>
          </w14:textFill>
        </w:rPr>
      </w:pPr>
      <w:bookmarkStart w:id="34" w:name="_Toc77400780"/>
      <w:bookmarkStart w:id="35" w:name="_Toc217446042"/>
      <w:bookmarkStart w:id="36" w:name="_Toc89075876"/>
      <w:bookmarkStart w:id="37" w:name="_Toc183682351"/>
      <w:bookmarkStart w:id="38" w:name="_Toc183582214"/>
    </w:p>
    <w:p>
      <w:pPr>
        <w:pStyle w:val="4"/>
        <w:keepNext w:val="0"/>
        <w:keepLines w:val="0"/>
        <w:spacing w:before="0" w:after="0" w:line="400" w:lineRule="exact"/>
        <w:jc w:val="center"/>
        <w:rPr>
          <w:rFonts w:ascii="仿宋" w:eastAsia="仿宋"/>
          <w:bCs w:val="0"/>
          <w:color w:val="000000" w:themeColor="text1"/>
          <w14:textFill>
            <w14:solidFill>
              <w14:schemeClr w14:val="tx1"/>
            </w14:solidFill>
          </w14:textFill>
        </w:rPr>
      </w:pPr>
      <w:r>
        <w:rPr>
          <w:rFonts w:hint="eastAsia" w:ascii="仿宋" w:eastAsia="仿宋"/>
          <w:bCs w:val="0"/>
          <w:color w:val="000000" w:themeColor="text1"/>
          <w14:textFill>
            <w14:solidFill>
              <w14:schemeClr w14:val="tx1"/>
            </w14:solidFill>
          </w14:textFill>
        </w:rPr>
        <w:t>四、响应文件</w:t>
      </w:r>
      <w:bookmarkEnd w:id="34"/>
      <w:bookmarkEnd w:id="35"/>
      <w:bookmarkEnd w:id="36"/>
      <w:bookmarkEnd w:id="37"/>
      <w:bookmarkEnd w:id="38"/>
    </w:p>
    <w:p>
      <w:pPr>
        <w:pStyle w:val="6"/>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bookmarkStart w:id="39" w:name="_Toc183582215"/>
      <w:bookmarkStart w:id="40" w:name="_Toc217446043"/>
      <w:bookmarkStart w:id="41" w:name="_Toc183682352"/>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12.响应文件的组成</w:t>
      </w:r>
    </w:p>
    <w:p>
      <w:pPr>
        <w:pStyle w:val="6"/>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12.1供应商应按照</w:t>
      </w:r>
      <w:r>
        <w:rPr>
          <w:rFonts w:hint="eastAsia" w:ascii="仿宋" w:eastAsia="仿宋"/>
          <w:b w:val="0"/>
          <w:color w:val="000000" w:themeColor="text1"/>
          <w:sz w:val="24"/>
          <w:szCs w:val="18"/>
          <w14:textFill>
            <w14:solidFill>
              <w14:schemeClr w14:val="tx1"/>
            </w14:solidFill>
          </w14:textFill>
        </w:rPr>
        <w:t>磋商</w:t>
      </w:r>
      <w:r>
        <w:rPr>
          <w:rFonts w:hint="eastAsia" w:ascii="仿宋" w:eastAsia="仿宋"/>
          <w:b w:val="0"/>
          <w:color w:val="000000" w:themeColor="text1"/>
          <w:sz w:val="24"/>
          <w14:textFill>
            <w14:solidFill>
              <w14:schemeClr w14:val="tx1"/>
            </w14:solidFill>
          </w14:textFill>
        </w:rPr>
        <w:t>文件的规定和要求编制响应文件。供应商在成交后将成交项目的非主体、非关键性工作分包他人完成的，应当在响应文件中载明或磋商过程中澄清。</w:t>
      </w:r>
      <w:r>
        <w:rPr>
          <w:rFonts w:hint="eastAsia" w:ascii="仿宋" w:eastAsia="仿宋"/>
          <w:color w:val="000000" w:themeColor="text1"/>
          <w:sz w:val="24"/>
          <w14:textFill>
            <w14:solidFill>
              <w14:schemeClr w14:val="tx1"/>
            </w14:solidFill>
          </w14:textFill>
        </w:rPr>
        <w:t>（实质性要求）</w:t>
      </w:r>
    </w:p>
    <w:p>
      <w:pPr>
        <w:pStyle w:val="6"/>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12.2供应商编写的响应文件应包括资格性响应文件和其他响应文件两部分，分册装订。</w:t>
      </w:r>
    </w:p>
    <w:p>
      <w:pPr>
        <w:spacing w:line="400" w:lineRule="exact"/>
        <w:ind w:left="2" w:leftChars="1" w:firstLine="420" w:firstLineChars="200"/>
        <w:rPr>
          <w:rFonts w:ascii="仿宋" w:eastAsia="仿宋"/>
          <w:color w:val="000000" w:themeColor="text1"/>
          <w14:textFill>
            <w14:solidFill>
              <w14:schemeClr w14:val="tx1"/>
            </w14:solidFill>
          </w14:textFill>
        </w:rPr>
      </w:pPr>
    </w:p>
    <w:p>
      <w:pPr>
        <w:pStyle w:val="6"/>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sz w:val="24"/>
          <w14:textFill>
            <w14:solidFill>
              <w14:schemeClr w14:val="tx1"/>
            </w14:solidFill>
          </w14:textFill>
        </w:rPr>
        <w:t>13.响应文件的语言</w:t>
      </w:r>
      <w:bookmarkEnd w:id="39"/>
      <w:bookmarkEnd w:id="40"/>
      <w:bookmarkEnd w:id="41"/>
      <w:r>
        <w:rPr>
          <w:rFonts w:hint="eastAsia" w:asci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13.3 如因未翻译而造成的响应文件无效风险，由供应商承担。</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42" w:name="_Toc217446044"/>
      <w:bookmarkStart w:id="43" w:name="_Toc183582216"/>
      <w:bookmarkStart w:id="44" w:name="_Toc183682353"/>
      <w:r>
        <w:rPr>
          <w:rFonts w:hint="eastAsia" w:ascii="仿宋" w:eastAsia="仿宋"/>
          <w:color w:val="000000" w:themeColor="text1"/>
          <w:sz w:val="24"/>
          <w14:textFill>
            <w14:solidFill>
              <w14:schemeClr w14:val="tx1"/>
            </w14:solidFill>
          </w14:textFill>
        </w:rPr>
        <w:t>14．计量单位</w:t>
      </w:r>
      <w:bookmarkEnd w:id="42"/>
      <w:bookmarkEnd w:id="43"/>
      <w:bookmarkEnd w:id="44"/>
      <w:r>
        <w:rPr>
          <w:rFonts w:hint="eastAsia" w:asci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除磋商文件中另有规定外，本次采购项目所有合同项下的报价均采用国家法定的计量单位。</w:t>
      </w:r>
    </w:p>
    <w:p>
      <w:pPr>
        <w:spacing w:line="400" w:lineRule="exact"/>
        <w:ind w:firstLine="470" w:firstLineChars="195"/>
        <w:rPr>
          <w:rFonts w:ascii="仿宋" w:eastAsia="仿宋"/>
          <w:b/>
          <w:bCs/>
          <w:color w:val="000000" w:themeColor="text1"/>
          <w:sz w:val="24"/>
          <w14:textFill>
            <w14:solidFill>
              <w14:schemeClr w14:val="tx1"/>
            </w14:solidFill>
          </w14:textFill>
        </w:rPr>
      </w:pPr>
    </w:p>
    <w:p>
      <w:pPr>
        <w:spacing w:line="400" w:lineRule="exact"/>
        <w:ind w:firstLine="470" w:firstLineChars="195"/>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 xml:space="preserve">15. </w:t>
      </w:r>
      <w:r>
        <w:rPr>
          <w:rFonts w:hint="eastAsia" w:ascii="仿宋" w:eastAsia="仿宋"/>
          <w:b/>
          <w:color w:val="000000" w:themeColor="text1"/>
          <w:sz w:val="24"/>
          <w14:textFill>
            <w14:solidFill>
              <w14:schemeClr w14:val="tx1"/>
            </w14:solidFill>
          </w14:textFill>
        </w:rPr>
        <w:t>报价</w:t>
      </w:r>
    </w:p>
    <w:p>
      <w:pPr>
        <w:spacing w:line="401" w:lineRule="auto"/>
        <w:ind w:firstLine="468"/>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.1本次磋商项目的报价货币为人民币，报价以磋商文件规定为准。</w:t>
      </w:r>
      <w:r>
        <w:rPr>
          <w:rFonts w:ascii="Times New Roman" w:hAnsi="Times New Roman" w:eastAsia="仿宋" w:cs="Times New Roman"/>
          <w:b/>
          <w:color w:val="000000" w:themeColor="text1"/>
          <w:sz w:val="24"/>
          <w14:textFill>
            <w14:solidFill>
              <w14:schemeClr w14:val="tx1"/>
            </w14:solidFill>
          </w14:textFill>
        </w:rPr>
        <w:t>（实质性要求）</w:t>
      </w:r>
    </w:p>
    <w:p>
      <w:pPr>
        <w:spacing w:line="401" w:lineRule="auto"/>
        <w:ind w:firstLine="468"/>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16.响应文件格式</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16.1 供应商应执行磋商文件第七章的规定要求。</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16.2 对于没有格式要求的磋商文件由供应商自行编写。</w:t>
      </w:r>
    </w:p>
    <w:p>
      <w:pPr>
        <w:spacing w:line="400" w:lineRule="exact"/>
        <w:ind w:firstLine="470" w:firstLineChars="196"/>
        <w:rPr>
          <w:rFonts w:ascii="仿宋" w:eastAsia="仿宋"/>
          <w:color w:val="000000" w:themeColor="text1"/>
          <w:sz w:val="24"/>
          <w14:textFill>
            <w14:solidFill>
              <w14:schemeClr w14:val="tx1"/>
            </w14:solidFill>
          </w14:textFill>
        </w:rPr>
      </w:pPr>
      <w:bookmarkStart w:id="45" w:name="_Toc183582224"/>
      <w:bookmarkStart w:id="46" w:name="_Toc183682361"/>
      <w:bookmarkStart w:id="47" w:name="_Toc217446051"/>
    </w:p>
    <w:p>
      <w:pPr>
        <w:spacing w:line="400" w:lineRule="exact"/>
        <w:ind w:firstLine="472" w:firstLineChars="196"/>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17.响应文件的编制和签署</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17.1 资格性响应文件正本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17.2 其他响应文件正本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bookmarkEnd w:id="45"/>
      <w:bookmarkEnd w:id="46"/>
      <w:bookmarkEnd w:id="47"/>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17.5</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响应文件应由供应商法定代表人/主要负责人/本人或其授权代表在响应文件要求的地方签字</w:t>
      </w:r>
      <w:r>
        <w:rPr>
          <w:rFonts w:hint="eastAsia" w:ascii="仿宋" w:eastAsia="仿宋"/>
          <w:bCs/>
          <w:color w:val="000000" w:themeColor="text1"/>
          <w:sz w:val="24"/>
          <w14:textFill>
            <w14:solidFill>
              <w14:schemeClr w14:val="tx1"/>
            </w14:solidFill>
          </w14:textFill>
        </w:rPr>
        <w:t>（注：</w:t>
      </w:r>
      <w:r>
        <w:rPr>
          <w:rFonts w:hint="eastAsia" w:ascii="仿宋" w:eastAsia="仿宋"/>
          <w:color w:val="000000" w:themeColor="text1"/>
          <w:sz w:val="24"/>
          <w14:textFill>
            <w14:solidFill>
              <w14:schemeClr w14:val="tx1"/>
            </w14:solidFill>
          </w14:textFill>
        </w:rPr>
        <w:t>供应商为法人的，应当由其法定代表人或者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签字确认；供应商为其他组织的，应当由其主要负责人或者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签字确认；供应商为自然人的，应当由其本人或者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w:t>
      </w:r>
      <w:r>
        <w:rPr>
          <w:rFonts w:hint="eastAsia" w:ascii="仿宋" w:eastAsia="仿宋"/>
          <w:bCs/>
          <w:color w:val="000000" w:themeColor="text1"/>
          <w:sz w:val="24"/>
          <w14:textFill>
            <w14:solidFill>
              <w14:schemeClr w14:val="tx1"/>
            </w14:solidFill>
          </w14:textFill>
        </w:rPr>
        <w:t>）或加盖私人印章</w:t>
      </w:r>
      <w:r>
        <w:rPr>
          <w:rFonts w:hint="eastAsia" w:ascii="仿宋" w:eastAsia="仿宋"/>
          <w:color w:val="000000" w:themeColor="text1"/>
          <w:sz w:val="24"/>
          <w14:textFill>
            <w14:solidFill>
              <w14:schemeClr w14:val="tx1"/>
            </w14:solidFill>
          </w14:textFill>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17.6响应文件正本和副本需要逐页编目编码。</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17.8</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响应文件应根据磋商文件的要求签署、盖章（第八章</w:t>
      </w:r>
      <w:r>
        <w:rPr>
          <w:rFonts w:ascii="仿宋" w:eastAsia="仿宋"/>
          <w:color w:val="000000" w:themeColor="text1"/>
          <w:sz w:val="24"/>
          <w14:textFill>
            <w14:solidFill>
              <w14:schemeClr w14:val="tx1"/>
            </w14:solidFill>
          </w14:textFill>
        </w:rPr>
        <w:t>2.4.6</w:t>
      </w:r>
      <w:r>
        <w:rPr>
          <w:rFonts w:hint="eastAsia" w:ascii="仿宋" w:eastAsia="仿宋"/>
          <w:color w:val="000000" w:themeColor="text1"/>
          <w:sz w:val="24"/>
          <w14:textFill>
            <w14:solidFill>
              <w14:schemeClr w14:val="tx1"/>
            </w14:solidFill>
          </w14:textFill>
        </w:rPr>
        <w:t>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例外</w:t>
      </w:r>
      <w:r>
        <w:rPr>
          <w:rFonts w:ascii="仿宋" w:eastAsia="仿宋"/>
          <w:color w:val="000000" w:themeColor="text1"/>
          <w:sz w:val="24"/>
          <w14:textFill>
            <w14:solidFill>
              <w14:schemeClr w14:val="tx1"/>
            </w14:solidFill>
          </w14:textFill>
        </w:rPr>
        <w:t>情形除外</w:t>
      </w:r>
      <w:r>
        <w:rPr>
          <w:rFonts w:hint="eastAsia" w:asci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17.9响应文件统一用</w:t>
      </w:r>
      <w:r>
        <w:rPr>
          <w:rFonts w:ascii="仿宋" w:eastAsia="仿宋"/>
          <w:color w:val="000000" w:themeColor="text1"/>
          <w:sz w:val="24"/>
          <w14:textFill>
            <w14:solidFill>
              <w14:schemeClr w14:val="tx1"/>
            </w14:solidFill>
          </w14:textFill>
        </w:rPr>
        <w:t>A4</w:t>
      </w:r>
      <w:r>
        <w:rPr>
          <w:rFonts w:hint="eastAsia" w:ascii="仿宋" w:eastAsia="仿宋"/>
          <w:color w:val="000000" w:themeColor="text1"/>
          <w:sz w:val="24"/>
          <w14:textFill>
            <w14:solidFill>
              <w14:schemeClr w14:val="tx1"/>
            </w14:solidFill>
          </w14:textFill>
        </w:rPr>
        <w:t>幅面纸印制，除另有规定外。</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18.3 所有外层密封袋的封口处应粘贴牢固。</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19.响应文件的递交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19.3 报价表在磋商后，磋商小组要求供应商进行报价时递交。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19.4 本次采购不接收邮寄的响应文件。</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bookmarkStart w:id="48" w:name="_Toc183582228"/>
      <w:bookmarkStart w:id="49" w:name="_Toc183682365"/>
      <w:bookmarkStart w:id="50" w:name="_Toc217446055"/>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20.响应文件的修改和撤回（补充、修改响应文件的密封和标注按照本章“18.响应文件的密封和标注”规定处理）</w:t>
      </w:r>
    </w:p>
    <w:p>
      <w:pPr>
        <w:pStyle w:val="7"/>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 供应商不得在递交截止时间起至响应文件有效期期满前撤回其响应文件。否则其磋商保证金将按相关规定不予退还。</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20.4供应商对其提交的响应文件的真实性、合法性承担法律责任。</w:t>
      </w:r>
      <w:bookmarkEnd w:id="48"/>
      <w:bookmarkEnd w:id="49"/>
      <w:bookmarkEnd w:id="50"/>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五、评审</w:t>
      </w:r>
    </w:p>
    <w:p>
      <w:pPr>
        <w:pStyle w:val="4"/>
        <w:keepNext w:val="0"/>
        <w:keepLines w:val="0"/>
        <w:spacing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bCs w:val="0"/>
          <w:color w:val="000000" w:themeColor="text1"/>
          <w:sz w:val="24"/>
          <w:szCs w:val="24"/>
          <w14:textFill>
            <w14:solidFill>
              <w14:schemeClr w14:val="tx1"/>
            </w14:solidFill>
          </w14:textFill>
        </w:rPr>
        <w:t>21.</w:t>
      </w:r>
      <w:r>
        <w:rPr>
          <w:rFonts w:hint="eastAsia" w:ascii="仿宋" w:eastAsia="仿宋"/>
          <w:b w:val="0"/>
          <w:color w:val="000000" w:themeColor="text1"/>
          <w:sz w:val="24"/>
          <w:szCs w:val="24"/>
          <w14:textFill>
            <w14:solidFill>
              <w14:schemeClr w14:val="tx1"/>
            </w14:solidFill>
          </w14:textFill>
        </w:rPr>
        <w:t>磋商小组的组建及其评审工作按照有关法律制度和本文件第八章的规定进行。</w:t>
      </w:r>
    </w:p>
    <w:p>
      <w:pPr>
        <w:pStyle w:val="4"/>
        <w:keepNext w:val="0"/>
        <w:keepLines w:val="0"/>
        <w:spacing w:line="400" w:lineRule="exact"/>
        <w:jc w:val="center"/>
        <w:rPr>
          <w:rFonts w:ascii="仿宋" w:eastAsia="仿宋"/>
          <w:b w:val="0"/>
          <w:color w:val="000000" w:themeColor="text1"/>
          <w:sz w:val="24"/>
          <w:szCs w:val="24"/>
          <w14:textFill>
            <w14:solidFill>
              <w14:schemeClr w14:val="tx1"/>
            </w14:solidFill>
          </w14:textFill>
        </w:rPr>
      </w:pP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六、成交事项</w:t>
      </w:r>
    </w:p>
    <w:p>
      <w:pPr>
        <w:pStyle w:val="4"/>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22.确定成交供应商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采购需求部门将按磋商小组推荐的成交候选供应商顺序确定成交供应商。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22.1采购组织部门自评审结束后2个工作日内将磋商报告及有关资料送交采购需求部门确定成交供应商。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22.3采购需求部门确定成交供应商过程中，发现成交候选供应商有下列情形之一的，应当不予确定其为成交供应商：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（1）发现成交候选供应商存在禁止参加本项目采购活动的违法行为的；</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（2）成交候选供应商因不可抗力，不能继续参加采购活动。</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（5）成交候选供应商恶意串通。</w:t>
      </w:r>
    </w:p>
    <w:p>
      <w:pPr>
        <w:rPr>
          <w:rFonts w:ascii="仿宋" w:eastAsia="仿宋"/>
          <w:color w:val="000000" w:themeColor="text1"/>
          <w14:textFill>
            <w14:solidFill>
              <w14:schemeClr w14:val="tx1"/>
            </w14:solidFill>
          </w14:textFill>
        </w:rPr>
      </w:pPr>
    </w:p>
    <w:p>
      <w:pPr>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23.成交结果</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23.1采购需求部门确定成交供应商后，将及时书面通知采购组织部门，发出成交通知书并发布成交结果公告。</w:t>
      </w:r>
    </w:p>
    <w:p>
      <w:pPr>
        <w:ind w:firstLine="46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23.2成交供应商应当及时领取成交通知书。</w:t>
      </w: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23.3成交供应商不能及时领取成交通知书，采购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或者采购组织部门应当通过邮寄、快递等方式将项目成交通知书送达成交供应商。</w:t>
      </w:r>
    </w:p>
    <w:p>
      <w:pPr>
        <w:ind w:firstLine="480" w:firstLineChars="200"/>
        <w:rPr>
          <w:rFonts w:ascii="仿宋" w:eastAsia="仿宋"/>
          <w:color w:val="000000" w:themeColor="text1"/>
          <w:sz w:val="24"/>
          <w14:textFill>
            <w14:solidFill>
              <w14:schemeClr w14:val="tx1"/>
            </w14:solidFill>
          </w14:textFill>
        </w:rPr>
      </w:pPr>
    </w:p>
    <w:p>
      <w:pPr>
        <w:pStyle w:val="4"/>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24.成交通知书</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24.1成交通知书为签订采购合同的依据之一，是合同的有效组成部分。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24.2成交通知书对采购需求部门和成交供应商均具有法律效力。成交通知书发出后，采购需求部门无正当理由改变成交结果，或者成交供应商无正当理由放弃成交的，将承担相应的法律责任。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七、合同事项</w:t>
      </w:r>
    </w:p>
    <w:p>
      <w:pPr>
        <w:pStyle w:val="4"/>
        <w:keepNext w:val="0"/>
        <w:keepLines w:val="0"/>
        <w:spacing w:before="0" w:after="0" w:line="400" w:lineRule="exact"/>
        <w:ind w:firstLine="472" w:firstLineChars="196"/>
        <w:rPr>
          <w:rFonts w:ascii="仿宋" w:eastAsia="仿宋"/>
          <w:color w:val="000000" w:themeColor="text1"/>
          <w:sz w:val="24"/>
          <w:szCs w:val="24"/>
          <w14:textFill>
            <w14:solidFill>
              <w14:schemeClr w14:val="tx1"/>
            </w14:solidFill>
          </w14:textFill>
        </w:rPr>
      </w:pPr>
      <w:bookmarkStart w:id="51" w:name="_Toc430773927"/>
      <w:bookmarkStart w:id="52" w:name="_Toc209847069"/>
      <w:bookmarkStart w:id="53" w:name="_Toc101174151"/>
      <w:bookmarkStart w:id="54" w:name="_Toc101250646"/>
      <w:bookmarkStart w:id="55" w:name="_Toc101338364"/>
      <w:r>
        <w:rPr>
          <w:rFonts w:hint="eastAsia" w:ascii="仿宋" w:eastAsia="仿宋"/>
          <w:color w:val="000000" w:themeColor="text1"/>
          <w:sz w:val="24"/>
          <w:szCs w:val="24"/>
          <w14:textFill>
            <w14:solidFill>
              <w14:schemeClr w14:val="tx1"/>
            </w14:solidFill>
          </w14:textFill>
        </w:rPr>
        <w:t>25.签订合同</w:t>
      </w:r>
      <w:bookmarkEnd w:id="51"/>
      <w:bookmarkEnd w:id="52"/>
      <w:bookmarkEnd w:id="53"/>
      <w:bookmarkEnd w:id="54"/>
      <w:bookmarkEnd w:id="55"/>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25.1 成交供应商应在成交通知书发出之日起三十日内与采购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签订采购合同。由于成交供应商的原因逾期未与采购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签订采购合同的，将视为放弃成交，取消其成交资格并将按相关规定进行处理。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25.3 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26.合同分包（实质性要求）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本项目合同接受分包与否，以“供应商须知附表”勾选项为准。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27.合同转包（实质性要求）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成交供应商转包的，视同拒绝履行采购合同义务，将依法追究法律责任。</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ascii="仿宋" w:eastAsia="仿宋"/>
          <w:b/>
          <w:color w:val="000000" w:themeColor="text1"/>
          <w:sz w:val="24"/>
          <w14:textFill>
            <w14:solidFill>
              <w14:schemeClr w14:val="tx1"/>
            </w14:solidFill>
          </w14:textFill>
        </w:rPr>
        <w:t>2</w:t>
      </w:r>
      <w:r>
        <w:rPr>
          <w:rFonts w:hint="eastAsia" w:ascii="仿宋" w:eastAsia="仿宋"/>
          <w:b/>
          <w:color w:val="000000" w:themeColor="text1"/>
          <w:sz w:val="24"/>
          <w14:textFill>
            <w14:solidFill>
              <w14:schemeClr w14:val="tx1"/>
            </w14:solidFill>
          </w14:textFill>
        </w:rPr>
        <w:t>8.补充合同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采购合同履行过程中，采购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29.履行合同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29.1 成交供应商与采购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签订合同后，合同双方应严格执行合同条款，履行合同规定的义务，保证合同的顺利完成。</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29.2 在合同履行过程中，如发生合同纠纷，合同双方应按照《中华人民共和国民法典》的有关规定进行处理。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30.验收</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30.1本项目采购需求部门及采购组织部门将严格按照有关履约验收制度规定的要求进行验收。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33.2 验收结果合格的，成交供应商凭验收报告办理相关手续。</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31.资金支付</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将按照采购合同规定，及时向成交供应商支付采购资金。</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p>
    <w:p>
      <w:pPr>
        <w:pStyle w:val="4"/>
        <w:keepNext w:val="0"/>
        <w:keepLines w:val="0"/>
        <w:spacing w:before="0" w:after="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八、磋商纪律要求</w:t>
      </w:r>
    </w:p>
    <w:p>
      <w:pPr>
        <w:tabs>
          <w:tab w:val="left" w:pos="851"/>
        </w:tabs>
        <w:spacing w:line="360" w:lineRule="auto"/>
        <w:jc w:val="center"/>
        <w:rPr>
          <w:rFonts w:ascii="仿宋" w:eastAsia="仿宋"/>
          <w:color w:val="000000" w:themeColor="text1"/>
          <w:sz w:val="24"/>
          <w14:textFill>
            <w14:solidFill>
              <w14:schemeClr w14:val="tx1"/>
            </w14:solidFill>
          </w14:textFill>
        </w:rPr>
      </w:pPr>
    </w:p>
    <w:p>
      <w:pPr>
        <w:tabs>
          <w:tab w:val="left" w:pos="851"/>
        </w:tabs>
        <w:spacing w:line="360" w:lineRule="auto"/>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32.供应商不得具有的情形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、采购组织部门、或其他供应商恶意串通；</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（4）向采购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、采购组织部门、磋商小组成员行贿或者提供其他不正当利益；</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（5）在磋商过程中与采购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、采购组织部门进行协商；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（6）成交后无正当理由拒不与采购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 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（11）法律法规规定的其他情形。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九、其他</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3.</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在本次递交响应文件之前一周年内，供应商本次询价采购中对同一品牌同一型号的产品报价与其在中国境内其他地方的最低报价相比不得高于</w:t>
      </w:r>
      <w:r>
        <w:rPr>
          <w:rFonts w:hint="eastAsia" w:ascii="仿宋" w:eastAsia="仿宋"/>
          <w:color w:val="000000" w:themeColor="text1"/>
          <w:sz w:val="24"/>
          <w:lang w:val="zh-CN"/>
          <w14:textFill>
            <w14:solidFill>
              <w14:schemeClr w14:val="tx1"/>
            </w14:solidFill>
          </w14:textFill>
        </w:rPr>
        <w:t>20%</w:t>
      </w:r>
      <w:r>
        <w:rPr>
          <w:rFonts w:hint="eastAsia" w:ascii="仿宋" w:eastAsia="仿宋"/>
          <w:color w:val="000000" w:themeColor="text1"/>
          <w:sz w:val="24"/>
          <w14:textFill>
            <w14:solidFill>
              <w14:schemeClr w14:val="tx1"/>
            </w14:solidFill>
          </w14:textFill>
        </w:rPr>
        <w:t>。</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34.</w:t>
      </w:r>
      <w:r>
        <w:rPr>
          <w:rFonts w:hint="eastAsia" w:ascii="仿宋" w:eastAsia="仿宋"/>
          <w:b/>
          <w:color w:val="000000" w:themeColor="text1"/>
          <w:sz w:val="24"/>
          <w14:textFill>
            <w14:solidFill>
              <w14:schemeClr w14:val="tx1"/>
            </w14:solidFill>
          </w14:textFill>
        </w:rPr>
        <w:t>（实质性要求）</w:t>
      </w:r>
      <w:r>
        <w:rPr>
          <w:rFonts w:ascii="仿宋" w:eastAsia="仿宋"/>
          <w:color w:val="000000" w:themeColor="text1"/>
          <w:sz w:val="24"/>
          <w14:textFill>
            <w14:solidFill>
              <w14:schemeClr w14:val="tx1"/>
            </w14:solidFill>
          </w14:textFill>
        </w:rPr>
        <w:t>国家</w:t>
      </w:r>
      <w:r>
        <w:rPr>
          <w:rFonts w:hint="eastAsia" w:ascii="仿宋" w:eastAsia="仿宋"/>
          <w:color w:val="000000" w:themeColor="text1"/>
          <w:sz w:val="24"/>
          <w14:textFill>
            <w14:solidFill>
              <w14:schemeClr w14:val="tx1"/>
            </w14:solidFill>
          </w14:textFill>
        </w:rPr>
        <w:t>或行业主管部门</w:t>
      </w:r>
      <w:r>
        <w:rPr>
          <w:rFonts w:ascii="仿宋" w:eastAsia="仿宋"/>
          <w:color w:val="000000" w:themeColor="text1"/>
          <w:sz w:val="24"/>
          <w14:textFill>
            <w14:solidFill>
              <w14:schemeClr w14:val="tx1"/>
            </w14:solidFill>
          </w14:textFill>
        </w:rPr>
        <w:t>对</w:t>
      </w:r>
      <w:r>
        <w:rPr>
          <w:rFonts w:hint="eastAsia" w:ascii="仿宋" w:eastAsia="仿宋"/>
          <w:color w:val="000000" w:themeColor="text1"/>
          <w:sz w:val="24"/>
          <w14:textFill>
            <w14:solidFill>
              <w14:schemeClr w14:val="tx1"/>
            </w14:solidFill>
          </w14:textFill>
        </w:rPr>
        <w:t>采购产品的</w:t>
      </w:r>
      <w:r>
        <w:rPr>
          <w:rFonts w:ascii="仿宋" w:eastAsia="仿宋"/>
          <w:color w:val="000000" w:themeColor="text1"/>
          <w:sz w:val="24"/>
          <w14:textFill>
            <w14:solidFill>
              <w14:schemeClr w14:val="tx1"/>
            </w14:solidFill>
          </w14:textFill>
        </w:rPr>
        <w:t>技术</w:t>
      </w:r>
      <w:r>
        <w:rPr>
          <w:rFonts w:hint="eastAsia" w:ascii="仿宋" w:eastAsia="仿宋"/>
          <w:color w:val="000000" w:themeColor="text1"/>
          <w:sz w:val="24"/>
          <w14:textFill>
            <w14:solidFill>
              <w14:schemeClr w14:val="tx1"/>
            </w14:solidFill>
          </w14:textFill>
        </w:rPr>
        <w:t>标准、</w:t>
      </w:r>
      <w:r>
        <w:rPr>
          <w:rFonts w:ascii="仿宋" w:eastAsia="仿宋"/>
          <w:color w:val="000000" w:themeColor="text1"/>
          <w:sz w:val="24"/>
          <w14:textFill>
            <w14:solidFill>
              <w14:schemeClr w14:val="tx1"/>
            </w14:solidFill>
          </w14:textFill>
        </w:rPr>
        <w:t>质量</w:t>
      </w:r>
      <w:r>
        <w:rPr>
          <w:rFonts w:hint="eastAsia" w:ascii="仿宋" w:eastAsia="仿宋"/>
          <w:color w:val="000000" w:themeColor="text1"/>
          <w:sz w:val="24"/>
          <w14:textFill>
            <w14:solidFill>
              <w14:schemeClr w14:val="tx1"/>
            </w14:solidFill>
          </w14:textFill>
        </w:rPr>
        <w:t>标准和资格资质条件</w:t>
      </w:r>
      <w:r>
        <w:rPr>
          <w:rFonts w:ascii="仿宋" w:eastAsia="仿宋"/>
          <w:color w:val="000000" w:themeColor="text1"/>
          <w:sz w:val="24"/>
          <w14:textFill>
            <w14:solidFill>
              <w14:schemeClr w14:val="tx1"/>
            </w14:solidFill>
          </w14:textFill>
        </w:rPr>
        <w:t>等有</w:t>
      </w:r>
      <w:r>
        <w:rPr>
          <w:rFonts w:hint="eastAsia" w:ascii="仿宋" w:eastAsia="仿宋"/>
          <w:color w:val="000000" w:themeColor="text1"/>
          <w:sz w:val="24"/>
          <w14:textFill>
            <w14:solidFill>
              <w14:schemeClr w14:val="tx1"/>
            </w14:solidFill>
          </w14:textFill>
        </w:rPr>
        <w:t>强制性规定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，必须符合其要求。</w:t>
      </w:r>
    </w:p>
    <w:p>
      <w:pPr>
        <w:spacing w:line="400" w:lineRule="exact"/>
        <w:ind w:firstLine="420" w:firstLineChars="200"/>
        <w:rPr>
          <w:rFonts w:ascii="Times New Roman" w:hAnsi="Times New Roman" w:eastAsia="仿宋" w:cs="Times New Roman"/>
          <w:b/>
          <w:color w:val="000000" w:themeColor="text1"/>
          <w:sz w:val="32"/>
          <w14:textFill>
            <w14:solidFill>
              <w14:schemeClr w14:val="tx1"/>
            </w14:solidFill>
          </w14:textFill>
        </w:rPr>
      </w:pPr>
      <w:r>
        <w:rPr>
          <w:rFonts w:ascii="仿宋" w:eastAsia="仿宋"/>
          <w:color w:val="000000" w:themeColor="text1"/>
          <w14:textFill>
            <w14:solidFill>
              <w14:schemeClr w14:val="tx1"/>
            </w14:solidFill>
          </w14:textFill>
        </w:rPr>
        <w:br w:type="page"/>
      </w:r>
    </w:p>
    <w:p>
      <w:pPr>
        <w:pStyle w:val="18"/>
        <w:rPr>
          <w:rFonts w:hint="eastAsia" w:ascii="仿宋" w:eastAsia="仿宋"/>
          <w:color w:val="000000" w:themeColor="text1"/>
          <w14:textFill>
            <w14:solidFill>
              <w14:schemeClr w14:val="tx1"/>
            </w14:solidFill>
          </w14:textFill>
        </w:rPr>
      </w:pPr>
      <w:bookmarkStart w:id="56" w:name="_Toc112053978"/>
      <w:bookmarkStart w:id="57" w:name="_Toc511210238"/>
    </w:p>
    <w:p>
      <w:pPr>
        <w:pStyle w:val="18"/>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第三章  供应商和报价产品的资格、资质性及其他类似效力要求</w:t>
      </w:r>
      <w:bookmarkEnd w:id="56"/>
      <w:bookmarkEnd w:id="57"/>
    </w:p>
    <w:p>
      <w:pPr>
        <w:rPr>
          <w:rFonts w:ascii="仿宋" w:eastAsia="仿宋"/>
          <w:b/>
          <w:color w:val="000000" w:themeColor="text1"/>
          <w:sz w:val="32"/>
          <w:szCs w:val="32"/>
          <w14:textFill>
            <w14:solidFill>
              <w14:schemeClr w14:val="tx1"/>
            </w14:solidFill>
          </w14:textFill>
        </w:rPr>
      </w:pPr>
    </w:p>
    <w:p>
      <w:pPr>
        <w:ind w:firstLine="542" w:firstLineChars="225"/>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参加磋商的供应商应具备下列资格条件：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6.符合法律、行政法规规定的其他条件；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7.根据采购项目提出的特殊条件：</w:t>
      </w:r>
    </w:p>
    <w:p>
      <w:pPr>
        <w:pStyle w:val="4"/>
        <w:spacing w:before="0" w:after="0" w:line="360" w:lineRule="auto"/>
        <w:ind w:firstLine="560"/>
        <w:rPr>
          <w:rFonts w:hint="eastAsia" w:ascii="仿宋" w:hAnsi="Calibri" w:eastAsia="仿宋" w:cs="Arial"/>
          <w:b w:val="0"/>
          <w:bCs w:val="0"/>
          <w:color w:val="000000" w:themeColor="text1"/>
          <w:sz w:val="24"/>
          <w:szCs w:val="22"/>
          <w:lang w:val="en-US" w:eastAsia="zh-CN" w:bidi="ar-SA"/>
          <w14:textFill>
            <w14:solidFill>
              <w14:schemeClr w14:val="tx1"/>
            </w14:solidFill>
          </w14:textFill>
        </w:rPr>
      </w:pPr>
      <w:r>
        <w:rPr>
          <w:rFonts w:hint="eastAsia" w:ascii="仿宋" w:hAnsi="Calibri" w:eastAsia="仿宋" w:cs="Arial"/>
          <w:b w:val="0"/>
          <w:bCs w:val="0"/>
          <w:color w:val="000000" w:themeColor="text1"/>
          <w:sz w:val="24"/>
          <w:szCs w:val="22"/>
          <w:lang w:val="en-US" w:eastAsia="zh-CN" w:bidi="ar-SA"/>
          <w14:textFill>
            <w14:solidFill>
              <w14:schemeClr w14:val="tx1"/>
            </w14:solidFill>
          </w14:textFill>
        </w:rPr>
        <w:t>供应商须具有中国保险监督管理委员会批准经营保险业务许可证。</w:t>
      </w:r>
    </w:p>
    <w:p>
      <w:pPr>
        <w:pStyle w:val="4"/>
        <w:spacing w:before="0" w:after="0" w:line="360" w:lineRule="auto"/>
        <w:ind w:firstLine="560"/>
        <w:rPr>
          <w:rFonts w:ascii="仿宋" w:eastAsia="仿宋"/>
          <w:color w:val="000000" w:themeColor="text1"/>
          <w:sz w:val="24"/>
          <w14:textFill>
            <w14:solidFill>
              <w14:schemeClr w14:val="tx1"/>
            </w14:solidFill>
          </w14:textFill>
        </w:rPr>
      </w:pPr>
      <w:r>
        <w:rPr>
          <w:rFonts w:ascii="仿宋" w:eastAsia="仿宋"/>
          <w:b w:val="0"/>
          <w:bCs w:val="0"/>
          <w:color w:val="000000" w:themeColor="text1"/>
          <w:sz w:val="24"/>
          <w14:textFill>
            <w14:solidFill>
              <w14:schemeClr w14:val="tx1"/>
            </w14:solidFill>
          </w14:textFill>
        </w:rPr>
        <w:t>8.</w:t>
      </w:r>
      <w:r>
        <w:rPr>
          <w:rFonts w:hint="eastAsia" w:ascii="仿宋" w:eastAsia="仿宋"/>
          <w:b w:val="0"/>
          <w:bCs w:val="0"/>
          <w:color w:val="000000" w:themeColor="text1"/>
          <w:sz w:val="24"/>
          <w14:textFill>
            <w14:solidFill>
              <w14:schemeClr w14:val="tx1"/>
            </w14:solidFill>
          </w14:textFill>
        </w:rPr>
        <w:t>本</w:t>
      </w:r>
      <w:r>
        <w:rPr>
          <w:rFonts w:ascii="仿宋" w:eastAsia="仿宋"/>
          <w:b w:val="0"/>
          <w:bCs w:val="0"/>
          <w:color w:val="000000" w:themeColor="text1"/>
          <w:sz w:val="24"/>
          <w14:textFill>
            <w14:solidFill>
              <w14:schemeClr w14:val="tx1"/>
            </w14:solidFill>
          </w14:textFill>
        </w:rPr>
        <w:t>项目不允许</w:t>
      </w:r>
      <w:r>
        <w:rPr>
          <w:rFonts w:hint="eastAsia" w:ascii="仿宋" w:eastAsia="仿宋"/>
          <w:b w:val="0"/>
          <w:bCs w:val="0"/>
          <w:color w:val="000000" w:themeColor="text1"/>
          <w:sz w:val="24"/>
          <w14:textFill>
            <w14:solidFill>
              <w14:schemeClr w14:val="tx1"/>
            </w14:solidFill>
          </w14:textFill>
        </w:rPr>
        <w:t>联合体</w:t>
      </w:r>
      <w:r>
        <w:rPr>
          <w:rFonts w:ascii="仿宋" w:eastAsia="仿宋"/>
          <w:b w:val="0"/>
          <w:bCs w:val="0"/>
          <w:color w:val="000000" w:themeColor="text1"/>
          <w:sz w:val="24"/>
          <w14:textFill>
            <w14:solidFill>
              <w14:schemeClr w14:val="tx1"/>
            </w14:solidFill>
          </w14:textFill>
        </w:rPr>
        <w:t>参加。</w:t>
      </w:r>
    </w:p>
    <w:p>
      <w:pPr>
        <w:pStyle w:val="9"/>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4"/>
        <w:rPr>
          <w:color w:val="000000" w:themeColor="text1"/>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9"/>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9"/>
        <w:rPr>
          <w:rFonts w:ascii="Times New Roman" w:hAnsi="Times New Roman" w:eastAsia="仿宋" w:cs="Times New Roman"/>
          <w:b/>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18"/>
        <w:jc w:val="both"/>
        <w:rPr>
          <w:rFonts w:ascii="仿宋" w:eastAsia="仿宋"/>
          <w:bCs w:val="0"/>
          <w:color w:val="000000" w:themeColor="text1"/>
          <w14:textFill>
            <w14:solidFill>
              <w14:schemeClr w14:val="tx1"/>
            </w14:solidFill>
          </w14:textFill>
        </w:rPr>
      </w:pPr>
    </w:p>
    <w:p>
      <w:pPr>
        <w:pStyle w:val="18"/>
        <w:rPr>
          <w:rFonts w:ascii="仿宋" w:eastAsia="仿宋"/>
          <w:bCs w:val="0"/>
          <w:color w:val="000000" w:themeColor="text1"/>
          <w14:textFill>
            <w14:solidFill>
              <w14:schemeClr w14:val="tx1"/>
            </w14:solidFill>
          </w14:textFill>
        </w:rPr>
      </w:pPr>
      <w:bookmarkStart w:id="58" w:name="_Toc112053979"/>
      <w:r>
        <w:rPr>
          <w:rFonts w:hint="eastAsia" w:ascii="仿宋" w:eastAsia="仿宋"/>
          <w:bCs w:val="0"/>
          <w:color w:val="000000" w:themeColor="text1"/>
          <w14:textFill>
            <w14:solidFill>
              <w14:schemeClr w14:val="tx1"/>
            </w14:solidFill>
          </w14:textFill>
        </w:rPr>
        <w:t>第四章  供应商应当提供的资格、资质性及其他类似效力要求的相关证明材料</w:t>
      </w:r>
      <w:bookmarkEnd w:id="58"/>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ind w:firstLine="470" w:firstLineChars="196"/>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sz w:val="24"/>
        </w:rPr>
      </w:pPr>
      <w:r>
        <w:rPr>
          <w:rFonts w:hint="eastAsia" w:ascii="仿宋" w:eastAsia="仿宋"/>
          <w:sz w:val="24"/>
        </w:rPr>
        <w:t>2、具备良好商业信誉的证明材料（可提供承诺函，格式详见第七章）；</w:t>
      </w:r>
    </w:p>
    <w:p>
      <w:pPr>
        <w:ind w:firstLine="470" w:firstLineChars="196"/>
        <w:rPr>
          <w:rFonts w:ascii="仿宋" w:eastAsia="仿宋"/>
          <w:sz w:val="24"/>
        </w:rPr>
      </w:pPr>
      <w:r>
        <w:rPr>
          <w:rFonts w:hint="eastAsia" w:ascii="仿宋" w:eastAsia="仿宋"/>
          <w:sz w:val="24"/>
        </w:rPr>
        <w:t>3、具备履行合同所必需的设备和专业技术能力的证明材料（可提供承诺函，格式详见第七章）；</w:t>
      </w:r>
    </w:p>
    <w:p>
      <w:pPr>
        <w:ind w:firstLine="470" w:firstLineChars="196"/>
        <w:rPr>
          <w:rFonts w:ascii="仿宋" w:eastAsia="仿宋"/>
          <w:sz w:val="24"/>
        </w:rPr>
      </w:pPr>
      <w:r>
        <w:rPr>
          <w:rFonts w:hint="eastAsia" w:ascii="仿宋" w:eastAsia="仿宋"/>
          <w:sz w:val="24"/>
        </w:rPr>
        <w:t>4、参加 采购活动前3年内在经营活动中没有重大违法记录的承诺函（格式详见第七章）；</w:t>
      </w:r>
    </w:p>
    <w:p>
      <w:pPr>
        <w:spacing w:after="50" w:line="420" w:lineRule="exact"/>
        <w:ind w:firstLine="480"/>
        <w:rPr>
          <w:rFonts w:ascii="仿宋" w:eastAsia="仿宋"/>
          <w:sz w:val="24"/>
        </w:rPr>
      </w:pPr>
      <w:r>
        <w:rPr>
          <w:rFonts w:hint="eastAsia" w:ascii="仿宋" w:eastAsia="仿宋"/>
          <w:sz w:val="24"/>
        </w:rPr>
        <w:t>5、具备法律、行政法规规定的其他条件的证明材料（可提供承诺函，格式详见第七章）；</w:t>
      </w:r>
    </w:p>
    <w:p>
      <w:pPr>
        <w:tabs>
          <w:tab w:val="left" w:pos="7665"/>
        </w:tabs>
        <w:spacing w:line="400" w:lineRule="exact"/>
        <w:ind w:firstLine="480" w:firstLineChars="200"/>
        <w:rPr>
          <w:rFonts w:ascii="仿宋" w:eastAsia="仿宋" w:cs="宋体"/>
          <w:sz w:val="24"/>
        </w:rPr>
      </w:pPr>
      <w:r>
        <w:rPr>
          <w:rFonts w:hint="eastAsia" w:ascii="仿宋" w:eastAsia="仿宋" w:cs="宋体"/>
          <w:sz w:val="24"/>
        </w:rPr>
        <w:t xml:space="preserve"> 6、本项目的特定资格要求：</w:t>
      </w:r>
    </w:p>
    <w:p>
      <w:pPr>
        <w:spacing w:line="360" w:lineRule="auto"/>
        <w:ind w:firstLine="540" w:firstLineChars="225"/>
        <w:rPr>
          <w:rFonts w:ascii="仿宋" w:eastAsia="仿宋" w:cs="宋体"/>
          <w:sz w:val="24"/>
        </w:rPr>
      </w:pPr>
      <w:r>
        <w:rPr>
          <w:rFonts w:hint="eastAsia" w:ascii="仿宋" w:eastAsia="仿宋" w:cs="宋体"/>
          <w:sz w:val="24"/>
        </w:rPr>
        <w:t xml:space="preserve"> </w:t>
      </w:r>
      <w:r>
        <w:rPr>
          <w:rFonts w:hint="eastAsia" w:ascii="仿宋" w:hAnsi="Calibri" w:eastAsia="仿宋" w:cs="Arial"/>
          <w:b w:val="0"/>
          <w:bCs w:val="0"/>
          <w:sz w:val="24"/>
          <w:szCs w:val="22"/>
          <w:lang w:val="en-US" w:eastAsia="zh-CN" w:bidi="ar-SA"/>
        </w:rPr>
        <w:t>供应商须具有中国保险监督管理委员会批准经营保险业务许可证</w:t>
      </w:r>
      <w:r>
        <w:rPr>
          <w:rFonts w:hint="eastAsia" w:ascii="仿宋" w:eastAsia="仿宋" w:cs="Arial"/>
          <w:b w:val="0"/>
          <w:bCs w:val="0"/>
          <w:sz w:val="24"/>
          <w:szCs w:val="22"/>
          <w:lang w:val="en-US" w:eastAsia="zh-CN" w:bidi="ar-SA"/>
        </w:rPr>
        <w:t>。</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59" w:name="_Toc511210240"/>
    </w:p>
    <w:p>
      <w:pPr>
        <w:pStyle w:val="18"/>
        <w:ind w:firstLine="321" w:firstLineChars="100"/>
        <w:jc w:val="both"/>
        <w:rPr>
          <w:rFonts w:ascii="仿宋" w:eastAsia="仿宋"/>
        </w:rPr>
      </w:pPr>
      <w:bookmarkStart w:id="60" w:name="_Toc112053980"/>
      <w:r>
        <w:rPr>
          <w:rFonts w:hint="eastAsia" w:ascii="仿宋" w:eastAsia="仿宋"/>
        </w:rPr>
        <w:t>第五章  采购项目技术、服务、采购合同内容条款及其他商务要求</w:t>
      </w:r>
      <w:bookmarkEnd w:id="59"/>
      <w:bookmarkEnd w:id="60"/>
    </w:p>
    <w:p>
      <w:pPr>
        <w:spacing w:line="400" w:lineRule="exact"/>
        <w:jc w:val="left"/>
        <w:rPr>
          <w:rFonts w:ascii="仿宋" w:eastAsia="仿宋"/>
          <w:b/>
          <w:sz w:val="24"/>
        </w:rPr>
      </w:pPr>
    </w:p>
    <w:p>
      <w:pPr>
        <w:pStyle w:val="4"/>
        <w:keepNext w:val="0"/>
        <w:keepLines w:val="0"/>
        <w:spacing w:before="0" w:after="0" w:line="400" w:lineRule="exact"/>
        <w:ind w:firstLine="118" w:firstLineChars="49"/>
        <w:jc w:val="left"/>
        <w:rPr>
          <w:rFonts w:ascii="仿宋" w:eastAsia="仿宋"/>
          <w:sz w:val="24"/>
          <w:szCs w:val="24"/>
        </w:rPr>
      </w:pPr>
      <w:r>
        <w:rPr>
          <w:rFonts w:hint="eastAsia" w:ascii="仿宋" w:eastAsia="仿宋"/>
          <w:sz w:val="24"/>
          <w:szCs w:val="24"/>
        </w:rPr>
        <w:t>前提：</w:t>
      </w:r>
      <w:r>
        <w:rPr>
          <w:rFonts w:ascii="仿宋" w:eastAsia="仿宋"/>
          <w:sz w:val="24"/>
          <w:szCs w:val="24"/>
        </w:rPr>
        <w:t>本章采购需求中标注“*”号的条款为本次</w:t>
      </w:r>
      <w:r>
        <w:rPr>
          <w:rFonts w:hint="eastAsia" w:ascii="仿宋" w:eastAsia="仿宋"/>
          <w:sz w:val="24"/>
          <w:szCs w:val="24"/>
        </w:rPr>
        <w:t>磋商</w:t>
      </w:r>
      <w:r>
        <w:rPr>
          <w:rFonts w:ascii="仿宋" w:eastAsia="仿宋"/>
          <w:sz w:val="24"/>
          <w:szCs w:val="24"/>
        </w:rPr>
        <w:t>采购项目的实质性要求，供应商应全部满足。</w:t>
      </w:r>
      <w:r>
        <w:rPr>
          <w:rFonts w:hint="eastAsia" w:ascii="仿宋" w:eastAsia="仿宋"/>
          <w:sz w:val="24"/>
          <w:szCs w:val="24"/>
        </w:rPr>
        <w:t>非</w:t>
      </w:r>
      <w:r>
        <w:rPr>
          <w:rFonts w:ascii="仿宋" w:eastAsia="仿宋"/>
          <w:sz w:val="24"/>
          <w:szCs w:val="24"/>
        </w:rPr>
        <w:t>“*”号的条款</w:t>
      </w:r>
      <w:r>
        <w:rPr>
          <w:rFonts w:hint="eastAsia" w:ascii="仿宋" w:eastAsia="仿宋"/>
          <w:sz w:val="24"/>
          <w:szCs w:val="24"/>
        </w:rPr>
        <w:t>有3项</w:t>
      </w:r>
      <w:r>
        <w:rPr>
          <w:rFonts w:ascii="仿宋" w:eastAsia="仿宋"/>
          <w:sz w:val="24"/>
          <w:szCs w:val="24"/>
        </w:rPr>
        <w:t>不满足，其响应文件作无效处理。</w:t>
      </w:r>
    </w:p>
    <w:p>
      <w:pPr>
        <w:pStyle w:val="4"/>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eastAsia" w:ascii="仿宋" w:eastAsia="仿宋"/>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60" w:lineRule="exact"/>
        <w:ind w:firstLine="562" w:firstLineChars="200"/>
        <w:jc w:val="left"/>
        <w:textAlignment w:val="auto"/>
        <w:rPr>
          <w:rFonts w:hint="eastAsia" w:ascii="仿宋" w:eastAsia="仿宋"/>
          <w:sz w:val="28"/>
          <w:szCs w:val="28"/>
        </w:rPr>
      </w:pP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项目概述</w:t>
      </w:r>
    </w:p>
    <w:p>
      <w:pPr>
        <w:pStyle w:val="4"/>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left"/>
        <w:textAlignment w:val="auto"/>
        <w:rPr>
          <w:rFonts w:hint="eastAsia" w:ascii="仿宋" w:hAnsi="仿宋" w:eastAsia="仿宋" w:cs="Arial"/>
          <w:b w:val="0"/>
          <w:bCs w:val="0"/>
          <w:color w:val="FF0000"/>
          <w:sz w:val="24"/>
          <w:szCs w:val="22"/>
          <w:lang w:val="en-US" w:eastAsia="zh-CN" w:bidi="ar-SA"/>
        </w:rPr>
      </w:pPr>
      <w:r>
        <w:rPr>
          <w:rFonts w:hint="eastAsia" w:ascii="仿宋" w:hAnsi="仿宋" w:eastAsia="仿宋" w:cs="Arial"/>
          <w:b w:val="0"/>
          <w:bCs w:val="0"/>
          <w:color w:val="000000" w:themeColor="text1"/>
          <w:sz w:val="24"/>
          <w:szCs w:val="22"/>
          <w:lang w:val="en-US" w:eastAsia="zh-CN" w:bidi="ar-SA"/>
          <w14:textFill>
            <w14:solidFill>
              <w14:schemeClr w14:val="tx1"/>
            </w14:solidFill>
          </w14:textFill>
        </w:rPr>
        <w:t>2023-2024年度九寨沟风景名胜区责任保险（含自然灾害保险）服务采购项目进行采购，采购内容包括2023-2024年度在九寨沟管理局管辖区域内的所有人员（包括景区居民、误入或者由其他途径进入的人员）在购票、观光、旅游、参观、游览以及生产生活等过程中，发生身故、受伤或致残、财物损害等情形的理赔服务。</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firstLine="562" w:firstLineChars="200"/>
        <w:jc w:val="left"/>
        <w:textAlignment w:val="auto"/>
        <w:rPr>
          <w:rFonts w:hint="eastAsia" w:ascii="仿宋" w:eastAsia="仿宋"/>
          <w:sz w:val="28"/>
          <w:szCs w:val="28"/>
        </w:rPr>
      </w:pPr>
      <w:r>
        <w:rPr>
          <w:rFonts w:hint="eastAsia" w:ascii="仿宋" w:eastAsia="仿宋"/>
          <w:sz w:val="28"/>
          <w:szCs w:val="28"/>
        </w:rPr>
        <w:t>*二、服务内容及技术、服务要求</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firstLine="482" w:firstLineChars="200"/>
        <w:jc w:val="left"/>
        <w:textAlignment w:val="auto"/>
        <w:rPr>
          <w:rFonts w:hint="eastAsia" w:ascii="仿宋" w:eastAsia="仿宋"/>
          <w:b/>
          <w:bCs/>
          <w:sz w:val="28"/>
          <w:szCs w:val="28"/>
        </w:rPr>
      </w:pPr>
      <w:r>
        <w:rPr>
          <w:rFonts w:hint="eastAsia" w:ascii="仿宋" w:hAnsi="仿宋" w:eastAsia="仿宋" w:cs="Arial"/>
          <w:b/>
          <w:bCs/>
          <w:color w:val="000000" w:themeColor="text1"/>
          <w:sz w:val="24"/>
          <w:szCs w:val="22"/>
          <w:lang w:val="en-US" w:eastAsia="zh-CN" w:bidi="ar-SA"/>
          <w14:textFill>
            <w14:solidFill>
              <w14:schemeClr w14:val="tx1"/>
            </w14:solidFill>
          </w14:textFill>
        </w:rPr>
        <w:t>（一）服务内容</w:t>
      </w:r>
    </w:p>
    <w:p>
      <w:pPr>
        <w:pStyle w:val="7"/>
        <w:spacing w:line="400" w:lineRule="exact"/>
        <w:ind w:firstLine="312" w:firstLineChars="130"/>
        <w:rPr>
          <w:rFonts w:hint="eastAsia" w:ascii="仿宋" w:hAnsi="仿宋" w:eastAsia="仿宋"/>
          <w:color w:val="000000" w:themeColor="text1"/>
          <w:sz w:val="24"/>
          <w14:textFill>
            <w14:solidFill>
              <w14:schemeClr w14:val="tx1"/>
            </w14:solidFill>
          </w14:textFill>
        </w:rPr>
      </w:pPr>
      <w:bookmarkStart w:id="61" w:name="_Toc112053981"/>
      <w:r>
        <w:rPr>
          <w:rFonts w:hint="eastAsia" w:ascii="仿宋" w:hAnsi="仿宋" w:eastAsia="仿宋"/>
          <w:color w:val="000000" w:themeColor="text1"/>
          <w:sz w:val="24"/>
          <w14:textFill>
            <w14:solidFill>
              <w14:schemeClr w14:val="tx1"/>
            </w14:solidFill>
          </w14:textFill>
        </w:rPr>
        <w:t>1.由成交供应商全额负责在采购人管辖区域内的所有人员（包括景区居民、误入或者由其他途径进入的人员）在购票、观光、旅游、参观等过程中，发生身故、受伤或致残、财物损害等情形的理赔。</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采购人管辖区域内有人因购票、观光、旅游、参观、游览以及生产生活（含景区居民、误入或者有其他途径进入的人员）过程中出现身故、受伤或致残、财物损害等情形，且该等情形所涉伤害（包含死亡）人员亲属要求采购人承担责任的，由国家相关机构认定、或者经九寨沟县政府及九寨沟县漳扎镇政府等机构参与、或者由采购人经协商确认采购人需要承担人道主义补偿、援助责任的，或者经人民法院判决（包括调解）属于采购人责任并应由采购人承担赔偿责任的，均由成交供应商负责全额赔偿。</w:t>
      </w:r>
    </w:p>
    <w:p>
      <w:pPr>
        <w:pStyle w:val="7"/>
        <w:spacing w:line="400" w:lineRule="exact"/>
        <w:ind w:firstLine="312" w:firstLineChars="13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3.承保期间，需要由采购人支付的费用，包括但不限于死亡赔偿费、误工费、住院治疗费、交通费、营养费、人道主义补偿等财产损害赔偿费和人身损害赔偿费、补偿费，均由成交供应商负责承担。</w:t>
      </w:r>
    </w:p>
    <w:p>
      <w:pPr>
        <w:pStyle w:val="7"/>
        <w:spacing w:line="400" w:lineRule="exact"/>
        <w:ind w:firstLine="312" w:firstLineChars="13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4.《九寨沟风景名胜区责任保险》扩展《自然灾害公众责任保险》保险责任为由气象部门发布的暴雨风、暴雨、崖崩、雷击、洪水、龙卷风、飓风、台风（热带风暴）、海啸 、泥石流、突发性滑坡、冰雹等自然灾害原因造成采购人管辖区内所有人员人身伤亡或财产损失(不含景区内居民和九寨沟管理局财产），由成交供应商负责全额赔偿。</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5.在治疗及后续康复期间，由成交供应商提前预支受伤害者医疗等相关费用。</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6.保险期限：202</w:t>
      </w:r>
      <w:r>
        <w:rPr>
          <w:rFonts w:hint="eastAsia" w:ascii="仿宋" w:hAnsi="仿宋" w:eastAsia="仿宋"/>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日至202</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年9月</w:t>
      </w:r>
      <w:r>
        <w:rPr>
          <w:rFonts w:hint="eastAsia" w:ascii="仿宋" w:hAnsi="仿宋" w:eastAsia="仿宋"/>
          <w:color w:val="000000" w:themeColor="text1"/>
          <w:sz w:val="24"/>
          <w:lang w:val="en-US" w:eastAsia="zh-CN"/>
          <w14:textFill>
            <w14:solidFill>
              <w14:schemeClr w14:val="tx1"/>
            </w14:solidFill>
          </w14:textFill>
        </w:rPr>
        <w:t>30</w:t>
      </w:r>
      <w:r>
        <w:rPr>
          <w:rFonts w:hint="eastAsia" w:ascii="仿宋" w:hAnsi="仿宋" w:eastAsia="仿宋"/>
          <w:color w:val="000000" w:themeColor="text1"/>
          <w:sz w:val="24"/>
          <w14:textFill>
            <w14:solidFill>
              <w14:schemeClr w14:val="tx1"/>
            </w14:solidFill>
          </w14:textFill>
        </w:rPr>
        <w:t>日</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firstLine="482" w:firstLineChars="200"/>
        <w:jc w:val="left"/>
        <w:textAlignment w:val="auto"/>
        <w:rPr>
          <w:rFonts w:hint="eastAsia" w:ascii="仿宋" w:hAnsi="仿宋" w:eastAsia="仿宋" w:cs="Arial"/>
          <w:b/>
          <w:bCs/>
          <w:color w:val="000000" w:themeColor="text1"/>
          <w:sz w:val="24"/>
          <w:szCs w:val="22"/>
          <w:lang w:val="en-US" w:eastAsia="zh-CN" w:bidi="ar-SA"/>
          <w14:textFill>
            <w14:solidFill>
              <w14:schemeClr w14:val="tx1"/>
            </w14:solidFill>
          </w14:textFill>
        </w:rPr>
      </w:pPr>
      <w:r>
        <w:rPr>
          <w:rFonts w:hint="eastAsia" w:ascii="仿宋" w:hAnsi="仿宋" w:eastAsia="仿宋" w:cs="Arial"/>
          <w:b/>
          <w:bCs/>
          <w:color w:val="000000" w:themeColor="text1"/>
          <w:sz w:val="24"/>
          <w:szCs w:val="22"/>
          <w:lang w:val="en-US" w:eastAsia="zh-CN" w:bidi="ar-SA"/>
          <w14:textFill>
            <w14:solidFill>
              <w14:schemeClr w14:val="tx1"/>
            </w14:solidFill>
          </w14:textFill>
        </w:rPr>
        <w:t xml:space="preserve">*（二）保障额度 </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该保险保障额度年度累计责任限额2000万,每次事故责任限额500万。其中：</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1.身故/残疾的保障额度限额为每次事故每人200万元；其中：精神损害赔偿限额10万元；</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2.医疗费的保障额度限额为每次事故每人100万元;包括治疗期间（住院及出院治疗期间）所有医疗费、误工费、护理费及伙食补助费、营养费等所有费用。</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3.财物损失的保障额度限额为每次事故10万元；</w:t>
      </w:r>
    </w:p>
    <w:p>
      <w:pPr>
        <w:pStyle w:val="7"/>
        <w:spacing w:line="400" w:lineRule="exact"/>
        <w:ind w:firstLine="312" w:firstLineChars="13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4.承担需要转送医疗机构（包括本地和外地医疗机构）的转运费（包括但不限于租车费、汽油费、过路费、转运人员劳务费、差旅费、住宿费等），转运费最高赔偿限额为每次事故每人5万元。</w:t>
      </w:r>
    </w:p>
    <w:p>
      <w:pPr>
        <w:pStyle w:val="7"/>
        <w:spacing w:line="400" w:lineRule="exact"/>
        <w:ind w:firstLine="313" w:firstLineChars="130"/>
        <w:rPr>
          <w:rFonts w:ascii="仿宋" w:hAnsi="仿宋" w:eastAsia="仿宋"/>
          <w:color w:val="000000" w:themeColor="text1"/>
          <w:sz w:val="24"/>
          <w14:textFill>
            <w14:solidFill>
              <w14:schemeClr w14:val="tx1"/>
            </w14:solidFill>
          </w14:textFill>
        </w:rPr>
      </w:pPr>
      <w:r>
        <w:rPr>
          <w:rFonts w:hint="eastAsia" w:ascii="仿宋" w:hAnsi="仿宋" w:eastAsia="仿宋" w:cs="Arial"/>
          <w:b/>
          <w:bCs/>
          <w:color w:val="000000" w:themeColor="text1"/>
          <w:sz w:val="24"/>
          <w:szCs w:val="22"/>
          <w:lang w:val="en-US" w:eastAsia="zh-CN" w:bidi="ar-SA"/>
          <w14:textFill>
            <w14:solidFill>
              <w14:schemeClr w14:val="tx1"/>
            </w14:solidFill>
          </w14:textFill>
        </w:rPr>
        <w:t xml:space="preserve">*（三）服务要求   </w:t>
      </w:r>
      <w:r>
        <w:rPr>
          <w:rFonts w:hint="eastAsia" w:ascii="仿宋" w:hAnsi="仿宋" w:eastAsia="仿宋"/>
          <w:color w:val="000000" w:themeColor="text1"/>
          <w:sz w:val="24"/>
          <w14:textFill>
            <w14:solidFill>
              <w14:schemeClr w14:val="tx1"/>
            </w14:solidFill>
          </w14:textFill>
        </w:rPr>
        <w:t xml:space="preserve">                                </w:t>
      </w:r>
    </w:p>
    <w:p>
      <w:pPr>
        <w:pStyle w:val="7"/>
        <w:spacing w:line="400" w:lineRule="exact"/>
        <w:ind w:firstLine="312" w:firstLineChars="13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将景区责任保险和景区意外险进行有效结合，即承担景区责任险（含自然灾害保险）的保险公司，由采购人为其配置景区意外险销售资格。采购人承担的费用均由成交供应商承担，采购人不承担出险后的费用</w:t>
      </w:r>
      <w:r>
        <w:rPr>
          <w:rFonts w:hint="eastAsia" w:ascii="仿宋" w:hAnsi="仿宋" w:eastAsia="仿宋"/>
          <w:color w:val="000000" w:themeColor="text1"/>
          <w:sz w:val="24"/>
          <w:lang w:eastAsia="zh-CN"/>
          <w14:textFill>
            <w14:solidFill>
              <w14:schemeClr w14:val="tx1"/>
            </w14:solidFill>
          </w14:textFill>
        </w:rPr>
        <w:t>。</w:t>
      </w:r>
    </w:p>
    <w:p>
      <w:pPr>
        <w:pStyle w:val="7"/>
        <w:spacing w:line="400" w:lineRule="exact"/>
        <w:ind w:firstLine="312" w:firstLineChars="130"/>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2.成交供应商需提供专业保险服务团队，安排专门工作人员1-2名常驻九寨沟景区，负责随时处理现场查勘及理赔服务工作，保证24小时/365天全天候接报案,24小时为景区提供投保、理赔、救援、咨询等全过程服务，财产损失5000元以下当场定损，当日赔付，5000元以上收集相关资料及时核定损失，人员伤亡及时跟踪，保证在承保范围和理赔期限内保质保量完成承保和理赔服务。</w:t>
      </w:r>
    </w:p>
    <w:p>
      <w:pPr>
        <w:pStyle w:val="7"/>
        <w:spacing w:line="400" w:lineRule="exact"/>
        <w:ind w:firstLine="313" w:firstLineChars="130"/>
        <w:rPr>
          <w:rFonts w:hint="eastAsia" w:ascii="仿宋" w:hAnsi="仿宋" w:eastAsia="仿宋" w:cs="Arial"/>
          <w:b/>
          <w:bCs/>
          <w:color w:val="000000" w:themeColor="text1"/>
          <w:sz w:val="24"/>
          <w:szCs w:val="22"/>
          <w:lang w:val="en-US" w:eastAsia="zh-CN" w:bidi="ar-SA"/>
          <w14:textFill>
            <w14:solidFill>
              <w14:schemeClr w14:val="tx1"/>
            </w14:solidFill>
          </w14:textFill>
        </w:rPr>
      </w:pPr>
      <w:r>
        <w:rPr>
          <w:rFonts w:hint="eastAsia" w:ascii="仿宋" w:hAnsi="仿宋" w:eastAsia="仿宋" w:cs="Arial"/>
          <w:b/>
          <w:bCs/>
          <w:color w:val="000000" w:themeColor="text1"/>
          <w:sz w:val="24"/>
          <w:szCs w:val="22"/>
          <w:lang w:val="en-US" w:eastAsia="zh-CN" w:bidi="ar-SA"/>
          <w14:textFill>
            <w14:solidFill>
              <w14:schemeClr w14:val="tx1"/>
            </w14:solidFill>
          </w14:textFill>
        </w:rPr>
        <w:t>*4.商务要求</w:t>
      </w:r>
    </w:p>
    <w:p>
      <w:pPr>
        <w:pStyle w:val="7"/>
        <w:spacing w:line="400" w:lineRule="exact"/>
        <w:ind w:firstLine="312" w:firstLineChars="13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1.履约期限：按照保险年度规则确定一个保险年度签订保险合同的保险期间，具体起止时间：202</w:t>
      </w:r>
      <w:r>
        <w:rPr>
          <w:rFonts w:hint="eastAsia" w:ascii="仿宋" w:hAnsi="仿宋" w:eastAsia="仿宋"/>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10</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日至202</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年9月</w:t>
      </w:r>
      <w:r>
        <w:rPr>
          <w:rFonts w:hint="eastAsia" w:ascii="仿宋" w:hAnsi="仿宋" w:eastAsia="仿宋"/>
          <w:color w:val="000000" w:themeColor="text1"/>
          <w:sz w:val="24"/>
          <w:lang w:val="en-US" w:eastAsia="zh-CN"/>
          <w14:textFill>
            <w14:solidFill>
              <w14:schemeClr w14:val="tx1"/>
            </w14:solidFill>
          </w14:textFill>
        </w:rPr>
        <w:t>30</w:t>
      </w:r>
      <w:r>
        <w:rPr>
          <w:rFonts w:hint="eastAsia" w:ascii="仿宋" w:hAnsi="仿宋" w:eastAsia="仿宋"/>
          <w:color w:val="000000" w:themeColor="text1"/>
          <w:sz w:val="24"/>
          <w14:textFill>
            <w14:solidFill>
              <w14:schemeClr w14:val="tx1"/>
            </w14:solidFill>
          </w14:textFill>
        </w:rPr>
        <w:t>日。</w:t>
      </w:r>
    </w:p>
    <w:p>
      <w:pPr>
        <w:pStyle w:val="7"/>
        <w:spacing w:line="400" w:lineRule="exact"/>
        <w:ind w:firstLine="312" w:firstLineChars="13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2.履约地点：九寨沟风景名胜区管理局指定地点。</w:t>
      </w:r>
    </w:p>
    <w:p>
      <w:pPr>
        <w:pStyle w:val="7"/>
        <w:spacing w:line="400" w:lineRule="exact"/>
        <w:ind w:firstLine="312" w:firstLineChars="13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3.付款方式：合同签订后</w:t>
      </w:r>
      <w:r>
        <w:rPr>
          <w:rFonts w:hint="eastAsia" w:ascii="仿宋" w:hAnsi="仿宋" w:eastAsia="仿宋"/>
          <w:color w:val="000000" w:themeColor="text1"/>
          <w:sz w:val="24"/>
          <w:lang w:val="en-US" w:eastAsia="zh-CN"/>
          <w14:textFill>
            <w14:solidFill>
              <w14:schemeClr w14:val="tx1"/>
            </w14:solidFill>
          </w14:textFill>
        </w:rPr>
        <w:t>7</w:t>
      </w:r>
      <w:r>
        <w:rPr>
          <w:rFonts w:hint="eastAsia" w:ascii="仿宋" w:hAnsi="仿宋" w:eastAsia="仿宋"/>
          <w:color w:val="000000" w:themeColor="text1"/>
          <w:sz w:val="24"/>
          <w14:textFill>
            <w14:solidFill>
              <w14:schemeClr w14:val="tx1"/>
            </w14:solidFill>
          </w14:textFill>
        </w:rPr>
        <w:t>个工作日内，</w:t>
      </w:r>
      <w:r>
        <w:rPr>
          <w:rFonts w:hint="eastAsia" w:ascii="仿宋" w:hAnsi="仿宋" w:eastAsia="仿宋"/>
          <w:color w:val="000000" w:themeColor="text1"/>
          <w:sz w:val="24"/>
          <w:lang w:eastAsia="zh-CN"/>
          <w14:textFill>
            <w14:solidFill>
              <w14:schemeClr w14:val="tx1"/>
            </w14:solidFill>
          </w14:textFill>
        </w:rPr>
        <w:t>中标供应商需向采购人提供保单，保单生效后，采购人</w:t>
      </w:r>
      <w:r>
        <w:rPr>
          <w:rFonts w:hint="eastAsia" w:ascii="仿宋" w:hAnsi="仿宋" w:eastAsia="仿宋"/>
          <w:color w:val="000000" w:themeColor="text1"/>
          <w:sz w:val="24"/>
          <w14:textFill>
            <w14:solidFill>
              <w14:schemeClr w14:val="tx1"/>
            </w14:solidFill>
          </w14:textFill>
        </w:rPr>
        <w:t>向成交供应商支付保险金</w:t>
      </w:r>
      <w:r>
        <w:rPr>
          <w:rFonts w:hint="eastAsia" w:ascii="仿宋" w:hAnsi="仿宋" w:eastAsia="仿宋"/>
          <w:color w:val="000000" w:themeColor="text1"/>
          <w:sz w:val="24"/>
          <w:lang w:eastAsia="zh-CN"/>
          <w14:textFill>
            <w14:solidFill>
              <w14:schemeClr w14:val="tx1"/>
            </w14:solidFill>
          </w14:textFill>
        </w:rPr>
        <w:t>。</w:t>
      </w:r>
    </w:p>
    <w:p>
      <w:pPr>
        <w:keepNext w:val="0"/>
        <w:keepLines w:val="0"/>
        <w:widowControl w:val="0"/>
        <w:suppressLineNumbers w:val="0"/>
        <w:autoSpaceDE w:val="0"/>
        <w:autoSpaceDN/>
        <w:spacing w:before="0" w:beforeAutospacing="0" w:after="0" w:afterAutospacing="0"/>
        <w:ind w:right="0" w:firstLine="240" w:firstLineChars="100"/>
        <w:jc w:val="both"/>
        <w:rPr>
          <w:rFonts w:hint="default" w:ascii="仿宋" w:hAnsi="仿宋" w:eastAsia="仿宋" w:cs="Arial"/>
          <w:color w:val="000000" w:themeColor="text1"/>
          <w:sz w:val="24"/>
          <w:szCs w:val="22"/>
          <w:lang w:val="en-US" w:eastAsia="zh-CN" w:bidi="ar-SA"/>
          <w14:textFill>
            <w14:solidFill>
              <w14:schemeClr w14:val="tx1"/>
            </w14:solidFill>
          </w14:textFill>
        </w:rPr>
      </w:pPr>
      <w:r>
        <w:rPr>
          <w:rFonts w:hint="eastAsia" w:ascii="仿宋" w:hAnsi="仿宋" w:eastAsia="仿宋" w:cs="Arial"/>
          <w:color w:val="000000" w:themeColor="text1"/>
          <w:sz w:val="24"/>
          <w:szCs w:val="22"/>
          <w:lang w:val="en-US" w:eastAsia="zh-CN" w:bidi="ar-SA"/>
          <w14:textFill>
            <w14:solidFill>
              <w14:schemeClr w14:val="tx1"/>
            </w14:solidFill>
          </w14:textFill>
        </w:rPr>
        <w:t>4.验收方式：按照磋商文件及成交供应商的响应文件进行验收。</w:t>
      </w:r>
    </w:p>
    <w:p>
      <w:pPr>
        <w:keepNext w:val="0"/>
        <w:keepLines w:val="0"/>
        <w:widowControl w:val="0"/>
        <w:suppressLineNumbers w:val="0"/>
        <w:autoSpaceDE w:val="0"/>
        <w:autoSpaceDN/>
        <w:spacing w:before="0" w:beforeAutospacing="0" w:after="0" w:afterAutospacing="0"/>
        <w:ind w:left="0" w:right="0" w:firstLine="560" w:firstLineChars="200"/>
        <w:jc w:val="both"/>
        <w:rPr>
          <w:rFonts w:hint="eastAsia" w:ascii="仿宋" w:eastAsia="仿宋"/>
          <w:b w:val="0"/>
          <w:bCs w:val="0"/>
          <w:color w:val="000000" w:themeColor="text1"/>
          <w:sz w:val="28"/>
          <w:szCs w:val="28"/>
          <w14:textFill>
            <w14:solidFill>
              <w14:schemeClr w14:val="tx1"/>
            </w14:solidFill>
          </w14:textFill>
        </w:rPr>
      </w:pPr>
    </w:p>
    <w:p>
      <w:pPr>
        <w:keepNext w:val="0"/>
        <w:keepLines w:val="0"/>
        <w:widowControl w:val="0"/>
        <w:suppressLineNumbers w:val="0"/>
        <w:autoSpaceDE w:val="0"/>
        <w:autoSpaceDN/>
        <w:spacing w:before="0" w:beforeAutospacing="0" w:after="0" w:afterAutospacing="0"/>
        <w:ind w:left="0" w:right="0" w:firstLine="560" w:firstLineChars="200"/>
        <w:jc w:val="both"/>
        <w:rPr>
          <w:rFonts w:hint="eastAsia" w:ascii="仿宋" w:eastAsia="仿宋"/>
          <w:b w:val="0"/>
          <w:bCs w:val="0"/>
          <w:color w:val="000000" w:themeColor="text1"/>
          <w:sz w:val="28"/>
          <w:szCs w:val="28"/>
          <w14:textFill>
            <w14:solidFill>
              <w14:schemeClr w14:val="tx1"/>
            </w14:solidFill>
          </w14:textFill>
        </w:rPr>
      </w:pPr>
    </w:p>
    <w:p>
      <w:pPr>
        <w:keepNext w:val="0"/>
        <w:keepLines w:val="0"/>
        <w:widowControl w:val="0"/>
        <w:suppressLineNumbers w:val="0"/>
        <w:autoSpaceDE w:val="0"/>
        <w:autoSpaceDN/>
        <w:spacing w:before="0" w:beforeAutospacing="0" w:after="0" w:afterAutospacing="0"/>
        <w:ind w:left="0" w:right="0" w:firstLine="560" w:firstLineChars="200"/>
        <w:jc w:val="both"/>
        <w:rPr>
          <w:rFonts w:hint="eastAsia" w:ascii="仿宋" w:eastAsia="仿宋"/>
          <w:b w:val="0"/>
          <w:bCs w:val="0"/>
          <w:color w:val="000000" w:themeColor="text1"/>
          <w:sz w:val="28"/>
          <w:szCs w:val="28"/>
          <w14:textFill>
            <w14:solidFill>
              <w14:schemeClr w14:val="tx1"/>
            </w14:solidFill>
          </w14:textFill>
        </w:rPr>
      </w:pPr>
      <w:bookmarkStart w:id="69" w:name="_GoBack"/>
      <w:bookmarkEnd w:id="69"/>
    </w:p>
    <w:p>
      <w:pPr>
        <w:keepNext w:val="0"/>
        <w:keepLines w:val="0"/>
        <w:widowControl w:val="0"/>
        <w:suppressLineNumbers w:val="0"/>
        <w:autoSpaceDE w:val="0"/>
        <w:autoSpaceDN/>
        <w:spacing w:before="0" w:beforeAutospacing="0" w:after="0" w:afterAutospacing="0"/>
        <w:ind w:left="0" w:right="0" w:firstLine="560" w:firstLineChars="200"/>
        <w:jc w:val="both"/>
        <w:rPr>
          <w:rFonts w:hint="eastAsia" w:ascii="仿宋" w:eastAsia="仿宋"/>
          <w:b w:val="0"/>
          <w:bCs w:val="0"/>
          <w:color w:val="000000" w:themeColor="text1"/>
          <w:sz w:val="28"/>
          <w:szCs w:val="28"/>
          <w14:textFill>
            <w14:solidFill>
              <w14:schemeClr w14:val="tx1"/>
            </w14:solidFill>
          </w14:textFill>
        </w:rPr>
      </w:pPr>
    </w:p>
    <w:p>
      <w:pPr>
        <w:keepNext w:val="0"/>
        <w:keepLines w:val="0"/>
        <w:widowControl w:val="0"/>
        <w:suppressLineNumbers w:val="0"/>
        <w:autoSpaceDE w:val="0"/>
        <w:autoSpaceDN/>
        <w:spacing w:before="0" w:beforeAutospacing="0" w:after="0" w:afterAutospacing="0"/>
        <w:ind w:left="0" w:right="0" w:firstLine="560" w:firstLineChars="200"/>
        <w:jc w:val="both"/>
        <w:rPr>
          <w:rFonts w:hint="eastAsia" w:ascii="仿宋" w:eastAsia="仿宋"/>
          <w:b w:val="0"/>
          <w:bCs w:val="0"/>
          <w:color w:val="000000" w:themeColor="text1"/>
          <w:sz w:val="28"/>
          <w:szCs w:val="28"/>
          <w14:textFill>
            <w14:solidFill>
              <w14:schemeClr w14:val="tx1"/>
            </w14:solidFill>
          </w14:textFill>
        </w:rPr>
      </w:pPr>
    </w:p>
    <w:p>
      <w:pPr>
        <w:spacing w:line="401" w:lineRule="auto"/>
        <w:jc w:val="center"/>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bookmarkEnd w:id="61"/>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spacing w:line="401" w:lineRule="auto"/>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bookmarkStart w:id="62" w:name="_Toc112053982"/>
    </w:p>
    <w:p>
      <w:pPr>
        <w:spacing w:line="401" w:lineRule="auto"/>
        <w:jc w:val="center"/>
        <w:outlineLvl w:val="0"/>
        <w:rPr>
          <w:rFonts w:ascii="仿宋" w:eastAsia="仿宋" w:cs="Times New Roman"/>
          <w:b/>
          <w:bCs/>
          <w:sz w:val="32"/>
          <w:szCs w:val="32"/>
        </w:rPr>
      </w:pPr>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62"/>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both"/>
        <w:rPr>
          <w:rFonts w:ascii="Times New Roman" w:hAnsi="Times New Roman" w:eastAsia="仿宋" w:cs="Times New Roman"/>
          <w:b/>
          <w:sz w:val="32"/>
        </w:rPr>
      </w:pPr>
    </w:p>
    <w:p>
      <w:pPr>
        <w:pStyle w:val="2"/>
      </w:pPr>
    </w:p>
    <w:p>
      <w:pPr>
        <w:rPr>
          <w:rFonts w:ascii="Times New Roman" w:hAnsi="Times New Roman" w:eastAsia="仿宋" w:cs="Times New Roman"/>
          <w:b/>
          <w:sz w:val="32"/>
        </w:rPr>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根据本项目竞争性磋商文件第三章资格证明要求中第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制造商家授权书(如涉及)</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9"/>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29"/>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9"/>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3" w:name="_Toc112053983"/>
      <w:r>
        <w:rPr>
          <w:rFonts w:ascii="Times New Roman" w:hAnsi="Times New Roman" w:eastAsia="仿宋" w:cs="Times New Roman"/>
          <w:b/>
          <w:sz w:val="36"/>
          <w:szCs w:val="36"/>
        </w:rPr>
        <w:t>第八章  评审方法</w:t>
      </w:r>
      <w:bookmarkEnd w:id="63"/>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pPr>
      <w:r>
        <w:rPr>
          <w:rFonts w:ascii="Times New Roman" w:hAnsi="Times New Roman" w:eastAsia="仿宋" w:cs="Times New Roman"/>
          <w:sz w:val="24"/>
        </w:rPr>
        <w:t>3.3.3综合评分明细表</w:t>
      </w:r>
    </w:p>
    <w:tbl>
      <w:tblPr>
        <w:tblStyle w:val="19"/>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476"/>
        <w:gridCol w:w="70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序号</w:t>
            </w:r>
          </w:p>
        </w:tc>
        <w:tc>
          <w:tcPr>
            <w:tcW w:w="1119"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评分因素</w:t>
            </w:r>
          </w:p>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及权重</w:t>
            </w:r>
          </w:p>
        </w:tc>
        <w:tc>
          <w:tcPr>
            <w:tcW w:w="80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分　值</w:t>
            </w:r>
          </w:p>
        </w:tc>
        <w:tc>
          <w:tcPr>
            <w:tcW w:w="5476"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评分标准</w:t>
            </w:r>
          </w:p>
        </w:tc>
        <w:tc>
          <w:tcPr>
            <w:tcW w:w="708"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备注</w:t>
            </w:r>
          </w:p>
        </w:tc>
        <w:tc>
          <w:tcPr>
            <w:tcW w:w="1499"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1</w:t>
            </w:r>
          </w:p>
        </w:tc>
        <w:tc>
          <w:tcPr>
            <w:tcW w:w="1119" w:type="dxa"/>
            <w:vAlign w:val="center"/>
          </w:tcPr>
          <w:p>
            <w:pPr>
              <w:jc w:val="left"/>
              <w:rPr>
                <w:rFonts w:ascii="仿宋" w:hAnsi="仿宋" w:eastAsia="仿宋"/>
                <w:color w:val="000000"/>
                <w:szCs w:val="21"/>
              </w:rPr>
            </w:pPr>
            <w:r>
              <w:rPr>
                <w:rFonts w:hint="eastAsia" w:ascii="仿宋" w:hAnsi="仿宋" w:eastAsia="仿宋"/>
                <w:color w:val="000000"/>
                <w:szCs w:val="21"/>
              </w:rPr>
              <w:t>报价</w:t>
            </w:r>
            <w:r>
              <w:rPr>
                <w:rFonts w:hint="eastAsia" w:ascii="仿宋" w:hAnsi="仿宋" w:eastAsia="仿宋"/>
                <w:color w:val="000000"/>
                <w:szCs w:val="21"/>
                <w:lang w:val="en-US" w:eastAsia="zh-CN"/>
              </w:rPr>
              <w:t>10</w:t>
            </w:r>
            <w:r>
              <w:rPr>
                <w:rFonts w:hint="eastAsia" w:ascii="仿宋" w:hAnsi="仿宋" w:eastAsia="仿宋"/>
                <w:color w:val="000000"/>
                <w:szCs w:val="21"/>
              </w:rPr>
              <w:t>%</w:t>
            </w:r>
          </w:p>
          <w:p>
            <w:pPr>
              <w:rPr>
                <w:rFonts w:ascii="仿宋" w:hAnsi="仿宋" w:eastAsia="仿宋"/>
                <w:color w:val="000000"/>
                <w:szCs w:val="21"/>
              </w:rPr>
            </w:pPr>
            <w:r>
              <w:rPr>
                <w:rFonts w:hint="eastAsia" w:ascii="仿宋" w:hAnsi="仿宋" w:eastAsia="仿宋"/>
                <w:color w:val="000000"/>
                <w:szCs w:val="21"/>
              </w:rPr>
              <w:t>（主要评分因素）</w:t>
            </w:r>
          </w:p>
        </w:tc>
        <w:tc>
          <w:tcPr>
            <w:tcW w:w="807" w:type="dxa"/>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10</w:t>
            </w:r>
            <w:r>
              <w:rPr>
                <w:rFonts w:hint="eastAsia" w:ascii="仿宋" w:hAnsi="仿宋" w:eastAsia="仿宋"/>
                <w:color w:val="000000"/>
                <w:szCs w:val="21"/>
              </w:rPr>
              <w:t>分</w:t>
            </w:r>
          </w:p>
        </w:tc>
        <w:tc>
          <w:tcPr>
            <w:tcW w:w="5476" w:type="dxa"/>
            <w:vAlign w:val="center"/>
          </w:tcPr>
          <w:p>
            <w:pPr>
              <w:rPr>
                <w:rFonts w:ascii="仿宋" w:hAnsi="仿宋" w:eastAsia="仿宋"/>
                <w:color w:val="000000"/>
                <w:szCs w:val="21"/>
              </w:rPr>
            </w:pPr>
            <w:r>
              <w:rPr>
                <w:rFonts w:hint="eastAsia" w:ascii="仿宋" w:hAnsi="仿宋" w:eastAsia="仿宋"/>
                <w:color w:val="000000"/>
                <w:szCs w:val="21"/>
              </w:rPr>
              <w:t>满足磋商文件要求且响应价格最低的响应报价为磋商基准价，其价格分为满分。其他供应商的价格分统一按照下列公式计算：磋商报价得分=(磋商基准价／最后磋商报价)*</w:t>
            </w:r>
            <w:r>
              <w:rPr>
                <w:rFonts w:hint="eastAsia" w:ascii="仿宋" w:hAnsi="仿宋" w:eastAsia="仿宋"/>
                <w:color w:val="000000"/>
                <w:szCs w:val="21"/>
                <w:lang w:val="en-US" w:eastAsia="zh-CN"/>
              </w:rPr>
              <w:t>10</w:t>
            </w:r>
            <w:r>
              <w:rPr>
                <w:rFonts w:hint="eastAsia" w:ascii="仿宋" w:hAnsi="仿宋" w:eastAsia="仿宋"/>
                <w:color w:val="000000"/>
                <w:szCs w:val="21"/>
              </w:rPr>
              <w:t>%*100</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ascii="仿宋" w:hAnsi="仿宋" w:eastAsia="仿宋"/>
                <w:color w:val="000000"/>
                <w:szCs w:val="21"/>
              </w:rPr>
              <w:t>2</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服务</w:t>
            </w:r>
            <w:r>
              <w:rPr>
                <w:rFonts w:hint="eastAsia" w:ascii="仿宋" w:hAnsi="仿宋" w:eastAsia="仿宋"/>
                <w:color w:val="000000" w:themeColor="text1"/>
                <w:szCs w:val="21"/>
                <w14:textFill>
                  <w14:solidFill>
                    <w14:schemeClr w14:val="tx1"/>
                  </w14:solidFill>
                </w14:textFill>
              </w:rPr>
              <w:t>方案</w:t>
            </w:r>
            <w:r>
              <w:rPr>
                <w:rFonts w:hint="eastAsia" w:ascii="仿宋" w:hAnsi="仿宋" w:eastAsia="仿宋"/>
                <w:color w:val="000000" w:themeColor="text1"/>
                <w:szCs w:val="21"/>
                <w:lang w:val="en-US" w:eastAsia="zh-CN"/>
                <w14:textFill>
                  <w14:solidFill>
                    <w14:schemeClr w14:val="tx1"/>
                  </w14:solidFill>
                </w14:textFill>
              </w:rPr>
              <w:t>54</w:t>
            </w:r>
            <w:r>
              <w:rPr>
                <w:rFonts w:hint="eastAsia" w:ascii="仿宋" w:hAnsi="仿宋" w:eastAsia="仿宋"/>
                <w:color w:val="000000" w:themeColor="text1"/>
                <w:szCs w:val="21"/>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54</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autoSpaceDN w:val="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供应商提供完整的服务方案（方案内容包括：保险责任（理赔范围）、理赔情形、追溯期、报案响应、查勘时效、支付方式、保障措施、风险管理）得分；每缺一项方案扣5分；提供的方案中每有一处具有缺陷（缺陷是指：存在不适用项目实际情况的情形、凭空编造、方案中内容前后不一致、前后逻辑错误、涉及的规范及标准错误、地点区域错误、内容缺失、不符合项目实际情况等）的扣2分，扣完为止。</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ascii="仿宋" w:hAnsi="仿宋" w:eastAsia="仿宋"/>
                <w:color w:val="000000"/>
                <w:szCs w:val="21"/>
              </w:rPr>
              <w:t>3</w:t>
            </w:r>
          </w:p>
        </w:tc>
        <w:tc>
          <w:tcPr>
            <w:tcW w:w="1119" w:type="dxa"/>
            <w:vAlign w:val="center"/>
          </w:tcPr>
          <w:p>
            <w:pPr>
              <w:autoSpaceDN w:val="0"/>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偿付能力充足率</w:t>
            </w:r>
            <w:r>
              <w:rPr>
                <w:rFonts w:hint="eastAsia" w:ascii="仿宋" w:hAnsi="仿宋" w:eastAsia="仿宋"/>
                <w:color w:val="000000" w:themeColor="text1"/>
                <w:szCs w:val="21"/>
                <w:lang w:val="en-US" w:eastAsia="zh-CN"/>
                <w14:textFill>
                  <w14:solidFill>
                    <w14:schemeClr w14:val="tx1"/>
                  </w14:solidFill>
                </w14:textFill>
              </w:rPr>
              <w:t>15</w:t>
            </w:r>
            <w:r>
              <w:rPr>
                <w:rFonts w:hint="eastAsia" w:ascii="仿宋" w:hAnsi="仿宋" w:eastAsia="仿宋"/>
                <w:color w:val="000000" w:themeColor="text1"/>
                <w:szCs w:val="21"/>
                <w14:textFill>
                  <w14:solidFill>
                    <w14:schemeClr w14:val="tx1"/>
                  </w14:solidFill>
                </w14:textFill>
              </w:rPr>
              <w:t>%</w:t>
            </w:r>
          </w:p>
        </w:tc>
        <w:tc>
          <w:tcPr>
            <w:tcW w:w="807" w:type="dxa"/>
            <w:vAlign w:val="center"/>
          </w:tcPr>
          <w:p>
            <w:pPr>
              <w:autoSpaceDN w:val="0"/>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15</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autoSpaceDN w:val="0"/>
              <w:rPr>
                <w:rFonts w:hint="eastAsia"/>
                <w:lang w:val="en-US" w:eastAsia="zh-CN"/>
              </w:rPr>
            </w:pPr>
            <w:r>
              <w:rPr>
                <w:rFonts w:hint="eastAsia" w:ascii="仿宋" w:hAnsi="仿宋" w:eastAsia="仿宋"/>
                <w:color w:val="000000" w:themeColor="text1"/>
                <w:szCs w:val="21"/>
                <w14:textFill>
                  <w14:solidFill>
                    <w14:schemeClr w14:val="tx1"/>
                  </w14:solidFill>
                </w14:textFill>
              </w:rPr>
              <w:t>供应商及其上级机构或总公司2022年年度综合偿付能力充足率≥200%的得1</w:t>
            </w:r>
            <w:r>
              <w:rPr>
                <w:rFonts w:hint="eastAsia" w:ascii="仿宋" w:hAnsi="仿宋" w:eastAsia="仿宋"/>
                <w:color w:val="000000" w:themeColor="text1"/>
                <w:szCs w:val="21"/>
                <w:lang w:val="en-US" w:eastAsia="zh-CN"/>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分，150%≤综合偿付能力充足率＜200%的得</w:t>
            </w: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分，120%≤综合偿付能力充足率＜150%的得</w:t>
            </w:r>
            <w:r>
              <w:rPr>
                <w:rFonts w:hint="eastAsia" w:ascii="仿宋" w:hAnsi="仿宋" w:eastAsia="仿宋"/>
                <w:color w:val="000000" w:themeColor="text1"/>
                <w:szCs w:val="21"/>
                <w:lang w:val="en-US" w:eastAsia="zh-CN"/>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分，120%以下不得分。（提供经审计的2022年偿付能力报告或依据经审计的2022年财务报告中的数据，自行计算出偿付能力充足率且提供对计算出的结果真实有效性的相应承诺。以上2种方式均加盖供应商公章。）</w:t>
            </w:r>
          </w:p>
        </w:tc>
        <w:tc>
          <w:tcPr>
            <w:tcW w:w="70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rPr>
            </w:pPr>
            <w:r>
              <w:rPr>
                <w:rFonts w:hint="eastAsia" w:ascii="仿宋" w:hAnsi="仿宋" w:eastAsia="仿宋"/>
                <w:color w:val="000000"/>
                <w:szCs w:val="21"/>
              </w:rPr>
              <w:t>4</w:t>
            </w:r>
          </w:p>
        </w:tc>
        <w:tc>
          <w:tcPr>
            <w:tcW w:w="1119" w:type="dxa"/>
            <w:vAlign w:val="center"/>
          </w:tcPr>
          <w:p>
            <w:pPr>
              <w:jc w:val="center"/>
              <w:rPr>
                <w:rFonts w:hint="eastAsia" w:ascii="仿宋" w:hAnsi="仿宋" w:eastAsia="仿宋"/>
                <w:color w:val="000000"/>
                <w:szCs w:val="21"/>
              </w:rPr>
            </w:pPr>
            <w:r>
              <w:rPr>
                <w:rFonts w:hint="eastAsia" w:ascii="仿宋" w:hAnsi="仿宋" w:eastAsia="仿宋"/>
                <w:color w:val="000000"/>
                <w:szCs w:val="21"/>
              </w:rPr>
              <w:t>人员</w:t>
            </w:r>
          </w:p>
          <w:p>
            <w:pPr>
              <w:jc w:val="center"/>
              <w:rPr>
                <w:rFonts w:hint="eastAsia" w:ascii="仿宋" w:hAnsi="仿宋" w:eastAsia="仿宋"/>
                <w:color w:val="000000"/>
                <w:szCs w:val="21"/>
              </w:rPr>
            </w:pPr>
            <w:r>
              <w:rPr>
                <w:rFonts w:hint="eastAsia" w:ascii="仿宋" w:hAnsi="仿宋" w:eastAsia="仿宋"/>
                <w:color w:val="000000"/>
                <w:szCs w:val="21"/>
              </w:rPr>
              <w:t>配置1</w:t>
            </w:r>
            <w:r>
              <w:rPr>
                <w:rFonts w:hint="eastAsia" w:ascii="仿宋" w:hAnsi="仿宋" w:eastAsia="仿宋"/>
                <w:color w:val="000000"/>
                <w:szCs w:val="21"/>
                <w:lang w:val="en-US" w:eastAsia="zh-CN"/>
              </w:rPr>
              <w:t>5</w:t>
            </w:r>
            <w:r>
              <w:rPr>
                <w:rFonts w:hint="eastAsia" w:ascii="仿宋" w:hAnsi="仿宋" w:eastAsia="仿宋"/>
                <w:color w:val="000000"/>
                <w:szCs w:val="21"/>
              </w:rPr>
              <w:t>%</w:t>
            </w:r>
          </w:p>
        </w:tc>
        <w:tc>
          <w:tcPr>
            <w:tcW w:w="807" w:type="dxa"/>
            <w:vAlign w:val="center"/>
          </w:tcPr>
          <w:p>
            <w:pPr>
              <w:jc w:val="center"/>
              <w:rPr>
                <w:rFonts w:hint="eastAsia" w:ascii="仿宋" w:hAnsi="仿宋" w:eastAsia="仿宋"/>
                <w:color w:val="000000"/>
                <w:szCs w:val="21"/>
              </w:rPr>
            </w:pPr>
            <w:r>
              <w:rPr>
                <w:rFonts w:hint="eastAsia" w:ascii="仿宋" w:hAnsi="仿宋" w:eastAsia="仿宋"/>
                <w:color w:val="000000"/>
                <w:szCs w:val="21"/>
                <w:lang w:val="en-US" w:eastAsia="zh-CN"/>
              </w:rPr>
              <w:t>15</w:t>
            </w:r>
            <w:r>
              <w:rPr>
                <w:rFonts w:hint="eastAsia" w:ascii="仿宋" w:hAnsi="仿宋" w:eastAsia="仿宋"/>
                <w:color w:val="000000"/>
                <w:szCs w:val="21"/>
              </w:rPr>
              <w:t>分</w:t>
            </w:r>
          </w:p>
        </w:tc>
        <w:tc>
          <w:tcPr>
            <w:tcW w:w="5476" w:type="dxa"/>
            <w:vAlign w:val="center"/>
          </w:tcPr>
          <w:p>
            <w:pPr>
              <w:jc w:val="left"/>
              <w:rPr>
                <w:rFonts w:hint="eastAsia" w:ascii="仿宋" w:hAnsi="仿宋" w:eastAsia="仿宋"/>
                <w:color w:val="000000"/>
                <w:szCs w:val="21"/>
              </w:rPr>
            </w:pPr>
            <w:r>
              <w:rPr>
                <w:rFonts w:hint="eastAsia" w:ascii="仿宋" w:hAnsi="仿宋" w:eastAsia="仿宋"/>
                <w:color w:val="000000"/>
                <w:szCs w:val="21"/>
              </w:rPr>
              <w:t>供</w:t>
            </w:r>
            <w:r>
              <w:rPr>
                <w:rFonts w:hint="eastAsia" w:ascii="仿宋" w:hAnsi="仿宋" w:eastAsia="仿宋"/>
                <w:color w:val="000000" w:themeColor="text1"/>
                <w:szCs w:val="21"/>
                <w14:textFill>
                  <w14:solidFill>
                    <w14:schemeClr w14:val="tx1"/>
                  </w14:solidFill>
                </w14:textFill>
              </w:rPr>
              <w:t>应商应为本项目制定详细的人员配置方案，方案内容包括团队人员配置清单、组织结构、分工职责、人员素质、类似工作经验，以上5项人员配置方案方案完善、具有针对性且不存在不适用项目实际情况的情形，不存在凭空编造、逻辑漏洞以及不可能实现的夸大情形等情况的得1</w:t>
            </w:r>
            <w:r>
              <w:rPr>
                <w:rFonts w:hint="eastAsia" w:ascii="仿宋" w:hAnsi="仿宋" w:eastAsia="仿宋"/>
                <w:color w:val="000000" w:themeColor="text1"/>
                <w:szCs w:val="21"/>
                <w:lang w:val="en-US" w:eastAsia="zh-CN"/>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分，每有一项不满足或未提供扣</w:t>
            </w:r>
            <w:r>
              <w:rPr>
                <w:rFonts w:hint="eastAsia" w:ascii="仿宋" w:hAnsi="仿宋" w:eastAsia="仿宋"/>
                <w:color w:val="000000" w:themeColor="text1"/>
                <w:szCs w:val="21"/>
                <w:lang w:val="en-US" w:eastAsia="zh-CN"/>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分，扣完为止。没有提供方案的不得分。提供的方案中每有一处具有缺陷（缺陷是指：内容非专门针对本项目或不适用项目特性的情形、内容不完整或缺少关键节点、套用其他项目方案、内容前后矛盾、涉及的规范及标准错误、不利于项目实施、不可能实现的情形等任意一种情形）的扣</w:t>
            </w:r>
            <w:r>
              <w:rPr>
                <w:rFonts w:hint="eastAsia" w:ascii="仿宋" w:hAnsi="仿宋" w:eastAsia="仿宋"/>
                <w:color w:val="000000" w:themeColor="text1"/>
                <w:szCs w:val="21"/>
                <w:lang w:val="en-US" w:eastAsia="zh-CN"/>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分，扣完为止。</w:t>
            </w:r>
          </w:p>
        </w:tc>
        <w:tc>
          <w:tcPr>
            <w:tcW w:w="70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w:t>
            </w:r>
          </w:p>
        </w:tc>
        <w:tc>
          <w:tcPr>
            <w:tcW w:w="1119" w:type="dxa"/>
            <w:vAlign w:val="center"/>
          </w:tcPr>
          <w:p>
            <w:pPr>
              <w:jc w:val="center"/>
              <w:rPr>
                <w:rFonts w:hint="eastAsia" w:ascii="仿宋" w:hAnsi="仿宋" w:eastAsia="仿宋"/>
                <w:color w:val="000000"/>
                <w:szCs w:val="21"/>
              </w:rPr>
            </w:pPr>
            <w:r>
              <w:rPr>
                <w:rFonts w:hint="eastAsia" w:ascii="仿宋" w:hAnsi="仿宋" w:eastAsia="仿宋"/>
                <w:color w:val="000000"/>
                <w:szCs w:val="21"/>
              </w:rPr>
              <w:t>业绩</w:t>
            </w:r>
            <w:r>
              <w:rPr>
                <w:rFonts w:hint="eastAsia" w:ascii="仿宋" w:hAnsi="仿宋" w:eastAsia="仿宋"/>
                <w:color w:val="000000"/>
                <w:szCs w:val="21"/>
                <w:lang w:val="en-US" w:eastAsia="zh-CN"/>
              </w:rPr>
              <w:t>6</w:t>
            </w:r>
            <w:r>
              <w:rPr>
                <w:rFonts w:hint="eastAsia" w:ascii="仿宋" w:hAnsi="仿宋" w:eastAsia="仿宋"/>
                <w:color w:val="000000"/>
                <w:szCs w:val="21"/>
              </w:rPr>
              <w:t>%</w:t>
            </w:r>
          </w:p>
        </w:tc>
        <w:tc>
          <w:tcPr>
            <w:tcW w:w="807" w:type="dxa"/>
            <w:vAlign w:val="center"/>
          </w:tcPr>
          <w:p>
            <w:pPr>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分</w:t>
            </w:r>
          </w:p>
        </w:tc>
        <w:tc>
          <w:tcPr>
            <w:tcW w:w="5476" w:type="dxa"/>
            <w:vAlign w:val="center"/>
          </w:tcPr>
          <w:p>
            <w:pPr>
              <w:jc w:val="left"/>
              <w:rPr>
                <w:rFonts w:hint="eastAsia" w:ascii="仿宋" w:hAnsi="仿宋" w:eastAsia="仿宋"/>
                <w:color w:val="000000"/>
                <w:szCs w:val="21"/>
              </w:rPr>
            </w:pPr>
            <w:r>
              <w:rPr>
                <w:rFonts w:hint="eastAsia" w:ascii="仿宋" w:hAnsi="仿宋" w:eastAsia="仿宋"/>
                <w:color w:val="000000"/>
                <w:szCs w:val="21"/>
              </w:rPr>
              <w:t>根据供应商提供类似业绩（201</w:t>
            </w:r>
            <w:r>
              <w:rPr>
                <w:rFonts w:hint="eastAsia" w:ascii="仿宋" w:hAnsi="仿宋" w:eastAsia="仿宋"/>
                <w:color w:val="000000"/>
                <w:szCs w:val="21"/>
                <w:lang w:val="en-US" w:eastAsia="zh-CN"/>
              </w:rPr>
              <w:t>9</w:t>
            </w:r>
            <w:r>
              <w:rPr>
                <w:rFonts w:hint="eastAsia" w:ascii="仿宋" w:hAnsi="仿宋" w:eastAsia="仿宋"/>
                <w:color w:val="000000"/>
                <w:szCs w:val="21"/>
              </w:rPr>
              <w:t>年1月1日-至递交投标文件截止日）进行评定，提供1项得1分，最多得</w:t>
            </w:r>
            <w:r>
              <w:rPr>
                <w:rFonts w:hint="eastAsia" w:ascii="仿宋" w:hAnsi="仿宋" w:eastAsia="仿宋"/>
                <w:color w:val="000000"/>
                <w:szCs w:val="21"/>
                <w:lang w:val="en-US" w:eastAsia="zh-CN"/>
              </w:rPr>
              <w:t>6</w:t>
            </w:r>
            <w:r>
              <w:rPr>
                <w:rFonts w:hint="eastAsia" w:ascii="仿宋" w:hAnsi="仿宋" w:eastAsia="仿宋"/>
                <w:color w:val="000000"/>
                <w:szCs w:val="21"/>
              </w:rPr>
              <w:t>分；无法提供业绩证明的，不得分。</w:t>
            </w:r>
          </w:p>
          <w:p>
            <w:pPr>
              <w:jc w:val="left"/>
              <w:rPr>
                <w:rFonts w:hint="eastAsia" w:ascii="仿宋" w:hAnsi="仿宋" w:eastAsia="仿宋"/>
                <w:color w:val="000000"/>
                <w:szCs w:val="21"/>
              </w:rPr>
            </w:pPr>
            <w:r>
              <w:rPr>
                <w:rFonts w:hint="eastAsia" w:ascii="仿宋" w:hAnsi="仿宋" w:eastAsia="仿宋"/>
                <w:color w:val="000000"/>
                <w:szCs w:val="21"/>
              </w:rPr>
              <w:t>（提供合同复印件或中标（成交）通知书并加盖供应商公章。（提供供应商自身或其总公司业绩均可）</w:t>
            </w:r>
          </w:p>
        </w:tc>
        <w:tc>
          <w:tcPr>
            <w:tcW w:w="708" w:type="dxa"/>
            <w:vAlign w:val="center"/>
          </w:tcPr>
          <w:p>
            <w:pPr>
              <w:jc w:val="center"/>
              <w:rPr>
                <w:rFonts w:hint="eastAsia" w:ascii="仿宋" w:hAnsi="仿宋" w:eastAsia="仿宋"/>
                <w:color w:val="000000" w:themeColor="text1"/>
                <w:szCs w:val="21"/>
                <w14:textFill>
                  <w14:solidFill>
                    <w14:schemeClr w14:val="tx1"/>
                  </w14:solidFill>
                </w14:textFill>
              </w:rPr>
            </w:pPr>
          </w:p>
        </w:tc>
        <w:tc>
          <w:tcPr>
            <w:tcW w:w="1499" w:type="dxa"/>
            <w:vAlign w:val="center"/>
          </w:tcPr>
          <w:p>
            <w:pPr>
              <w:jc w:val="center"/>
              <w:rPr>
                <w:rFonts w:ascii="仿宋" w:hAnsi="仿宋" w:eastAsia="仿宋"/>
                <w:color w:val="000000"/>
                <w:szCs w:val="21"/>
              </w:rPr>
            </w:pPr>
          </w:p>
        </w:tc>
      </w:tr>
    </w:tbl>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b/>
          <w:bCs/>
          <w:sz w:val="36"/>
          <w:szCs w:val="36"/>
        </w:rPr>
      </w:pPr>
      <w:bookmarkStart w:id="64" w:name="_Toc112053984"/>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bookmarkEnd w:id="64"/>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keepNext w:val="0"/>
        <w:keepLines w:val="0"/>
        <w:pageBreakBefore w:val="0"/>
        <w:kinsoku/>
        <w:wordWrap/>
        <w:overflowPunct/>
        <w:topLinePunct w:val="0"/>
        <w:autoSpaceDE w:val="0"/>
        <w:autoSpaceDN w:val="0"/>
        <w:bidi w:val="0"/>
        <w:adjustRightInd/>
        <w:snapToGrid w:val="0"/>
        <w:spacing w:line="540" w:lineRule="exact"/>
        <w:textAlignment w:val="auto"/>
        <w:rPr>
          <w:rFonts w:hint="eastAsia" w:ascii="方正仿宋_GBK" w:hAnsi="方正仿宋_GBK" w:eastAsia="方正仿宋_GBK" w:cs="方正仿宋_GBK"/>
          <w:spacing w:val="8"/>
          <w:sz w:val="24"/>
          <w:szCs w:val="24"/>
        </w:rPr>
      </w:pPr>
      <w:r>
        <w:rPr>
          <w:rFonts w:hint="eastAsia" w:ascii="方正仿宋_GBK" w:hAnsi="方正仿宋_GBK" w:eastAsia="方正仿宋_GBK" w:cs="方正仿宋_GBK"/>
          <w:sz w:val="24"/>
          <w:szCs w:val="24"/>
        </w:rPr>
        <w:t>甲方</w:t>
      </w:r>
      <w:r>
        <w:rPr>
          <w:rFonts w:hint="eastAsia" w:ascii="方正仿宋_GBK" w:hAnsi="方正仿宋_GBK" w:eastAsia="方正仿宋_GBK" w:cs="方正仿宋_GBK"/>
          <w:spacing w:val="8"/>
          <w:sz w:val="24"/>
          <w:szCs w:val="24"/>
        </w:rPr>
        <w:t>(</w:t>
      </w:r>
      <w:r>
        <w:rPr>
          <w:rFonts w:hint="default" w:ascii="方正仿宋_GBK" w:hAnsi="方正仿宋_GBK" w:eastAsia="方正仿宋_GBK" w:cs="方正仿宋_GBK"/>
          <w:spacing w:val="8"/>
          <w:sz w:val="24"/>
          <w:szCs w:val="24"/>
        </w:rPr>
        <w:t>采购人</w:t>
      </w:r>
      <w:r>
        <w:rPr>
          <w:rFonts w:hint="eastAsia" w:ascii="方正仿宋_GBK" w:hAnsi="方正仿宋_GBK" w:eastAsia="方正仿宋_GBK" w:cs="方正仿宋_GBK"/>
          <w:spacing w:val="8"/>
          <w:sz w:val="24"/>
          <w:szCs w:val="24"/>
        </w:rPr>
        <w:t>)</w:t>
      </w:r>
      <w:r>
        <w:rPr>
          <w:rFonts w:hint="default" w:ascii="方正仿宋_GBK" w:hAnsi="方正仿宋_GBK" w:eastAsia="方正仿宋_GBK" w:cs="方正仿宋_GBK"/>
          <w:spacing w:val="8"/>
          <w:sz w:val="24"/>
          <w:szCs w:val="24"/>
        </w:rPr>
        <w:t>：</w:t>
      </w:r>
    </w:p>
    <w:p>
      <w:pPr>
        <w:keepNext w:val="0"/>
        <w:keepLines w:val="0"/>
        <w:pageBreakBefore w:val="0"/>
        <w:kinsoku/>
        <w:wordWrap/>
        <w:overflowPunct/>
        <w:topLinePunct w:val="0"/>
        <w:autoSpaceDE w:val="0"/>
        <w:autoSpaceDN w:val="0"/>
        <w:bidi w:val="0"/>
        <w:adjustRightInd/>
        <w:snapToGrid w:val="0"/>
        <w:spacing w:line="540" w:lineRule="exact"/>
        <w:textAlignment w:val="auto"/>
        <w:rPr>
          <w:rFonts w:hint="default" w:ascii="方正仿宋_GBK" w:hAnsi="方正仿宋_GBK" w:eastAsia="方正仿宋_GBK" w:cs="方正仿宋_GBK"/>
          <w:spacing w:val="8"/>
          <w:sz w:val="24"/>
          <w:szCs w:val="24"/>
        </w:rPr>
      </w:pPr>
      <w:r>
        <w:rPr>
          <w:rFonts w:hint="eastAsia" w:ascii="方正仿宋_GBK" w:hAnsi="方正仿宋_GBK" w:eastAsia="方正仿宋_GBK" w:cs="方正仿宋_GBK"/>
          <w:spacing w:val="8"/>
          <w:sz w:val="24"/>
          <w:szCs w:val="24"/>
        </w:rPr>
        <w:t>乙方(</w:t>
      </w:r>
      <w:r>
        <w:rPr>
          <w:rFonts w:hint="default" w:ascii="方正仿宋_GBK" w:hAnsi="方正仿宋_GBK" w:eastAsia="方正仿宋_GBK" w:cs="方正仿宋_GBK"/>
          <w:spacing w:val="8"/>
          <w:sz w:val="24"/>
          <w:szCs w:val="24"/>
        </w:rPr>
        <w:t>供应商</w:t>
      </w:r>
      <w:r>
        <w:rPr>
          <w:rFonts w:hint="eastAsia" w:ascii="方正仿宋_GBK" w:hAnsi="方正仿宋_GBK" w:eastAsia="方正仿宋_GBK" w:cs="方正仿宋_GBK"/>
          <w:spacing w:val="8"/>
          <w:sz w:val="24"/>
          <w:szCs w:val="24"/>
        </w:rPr>
        <w:t>)</w:t>
      </w:r>
      <w:r>
        <w:rPr>
          <w:rFonts w:hint="default" w:ascii="方正仿宋_GBK" w:hAnsi="方正仿宋_GBK" w:eastAsia="方正仿宋_GBK" w:cs="方正仿宋_GBK"/>
          <w:spacing w:val="8"/>
          <w:sz w:val="24"/>
          <w:szCs w:val="24"/>
        </w:rPr>
        <w:t>：</w:t>
      </w:r>
    </w:p>
    <w:p>
      <w:pPr>
        <w:keepNext w:val="0"/>
        <w:keepLines w:val="0"/>
        <w:pageBreakBefore w:val="0"/>
        <w:kinsoku/>
        <w:wordWrap/>
        <w:overflowPunct/>
        <w:topLinePunct w:val="0"/>
        <w:autoSpaceDE w:val="0"/>
        <w:autoSpaceDN w:val="0"/>
        <w:bidi w:val="0"/>
        <w:adjustRightInd/>
        <w:snapToGrid w:val="0"/>
        <w:spacing w:line="540" w:lineRule="exact"/>
        <w:ind w:firstLine="512" w:firstLineChars="200"/>
        <w:textAlignment w:val="auto"/>
        <w:rPr>
          <w:rFonts w:hint="eastAsia" w:ascii="方正仿宋_GBK" w:hAnsi="方正仿宋_GBK" w:eastAsia="方正仿宋_GBK" w:cs="方正仿宋_GBK"/>
          <w:spacing w:val="8"/>
          <w:sz w:val="24"/>
          <w:szCs w:val="24"/>
        </w:rPr>
      </w:pPr>
      <w:r>
        <w:rPr>
          <w:rFonts w:hint="default" w:ascii="方正仿宋_GBK" w:hAnsi="方正仿宋_GBK" w:eastAsia="方正仿宋_GBK" w:cs="方正仿宋_GBK"/>
          <w:spacing w:val="8"/>
          <w:sz w:val="24"/>
          <w:szCs w:val="24"/>
        </w:rPr>
        <w:t>甲方在202 -202 年度景区责任险采购中确定乙方为成交供应商。现依照法律规定，本着平等、诚信的基本原则，经充分协商，双方</w:t>
      </w:r>
      <w:r>
        <w:rPr>
          <w:rFonts w:hint="eastAsia" w:ascii="方正仿宋_GBK" w:hAnsi="方正仿宋_GBK" w:eastAsia="方正仿宋_GBK" w:cs="方正仿宋_GBK"/>
          <w:spacing w:val="8"/>
          <w:sz w:val="24"/>
          <w:szCs w:val="24"/>
        </w:rPr>
        <w:t>同意按下述条款和条件签署本合同：</w:t>
      </w:r>
    </w:p>
    <w:p>
      <w:pPr>
        <w:keepNext w:val="0"/>
        <w:keepLines w:val="0"/>
        <w:pageBreakBefore w:val="0"/>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1．合同文件</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本合同所附下列文件是本合同不可分割的部分：</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 xml:space="preserve">1.1 </w:t>
      </w:r>
      <w:r>
        <w:rPr>
          <w:rFonts w:hint="default" w:ascii="Times New Roman" w:hAnsi="Times New Roman" w:eastAsia="方正仿宋_GBK" w:cs="Times New Roman"/>
          <w:sz w:val="24"/>
          <w:szCs w:val="24"/>
        </w:rPr>
        <w:t>成交后双方签订的采购合同；（包括</w:t>
      </w:r>
      <w:r>
        <w:rPr>
          <w:rFonts w:hint="default" w:ascii="Times New Roman" w:hAnsi="Times New Roman" w:eastAsia="方正仿宋_GBK" w:cs="Times New Roman"/>
          <w:spacing w:val="8"/>
          <w:sz w:val="24"/>
          <w:szCs w:val="24"/>
        </w:rPr>
        <w:t>服务方案、项目验收标准和验收方法等</w:t>
      </w:r>
      <w:r>
        <w:rPr>
          <w:rFonts w:hint="default" w:ascii="Times New Roman" w:hAnsi="Times New Roman" w:eastAsia="方正仿宋_GBK" w:cs="Times New Roman"/>
          <w:sz w:val="24"/>
          <w:szCs w:val="24"/>
        </w:rPr>
        <w:t>）</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1.2 甲方（即采购人）针对本项目的磋商文件；</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1.3 乙方（即供应商）提交的磋商响应文件及磋商过程中相关承诺；</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1.4 成交通知书。</w:t>
      </w:r>
    </w:p>
    <w:p>
      <w:pPr>
        <w:keepNext w:val="0"/>
        <w:keepLines w:val="0"/>
        <w:pageBreakBefore w:val="0"/>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2．合同范围和条件</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2.1</w:t>
      </w:r>
      <w:r>
        <w:rPr>
          <w:rFonts w:hint="default" w:ascii="Times New Roman" w:hAnsi="Times New Roman" w:eastAsia="方正仿宋_GBK" w:cs="Times New Roman"/>
          <w:spacing w:val="8"/>
          <w:sz w:val="24"/>
          <w:szCs w:val="24"/>
          <w:lang w:bidi="ar-SA"/>
        </w:rPr>
        <w:t>甲乙双方合作的产品为</w:t>
      </w:r>
      <w:r>
        <w:rPr>
          <w:rFonts w:hint="default" w:ascii="Times New Roman" w:hAnsi="Times New Roman" w:eastAsia="方正仿宋_GBK" w:cs="Times New Roman"/>
          <w:spacing w:val="8"/>
          <w:sz w:val="24"/>
          <w:szCs w:val="24"/>
          <w:lang w:val="en-US" w:eastAsia="zh-CN" w:bidi="ar-SA"/>
        </w:rPr>
        <w:t xml:space="preserve">    年   月至    年   月</w:t>
      </w:r>
      <w:r>
        <w:rPr>
          <w:rFonts w:hint="default" w:ascii="Times New Roman" w:hAnsi="Times New Roman" w:eastAsia="方正仿宋_GBK" w:cs="Times New Roman"/>
          <w:spacing w:val="8"/>
          <w:sz w:val="24"/>
          <w:szCs w:val="24"/>
          <w:lang w:bidi="ar-SA"/>
        </w:rPr>
        <w:t>九寨沟风景名胜区责任保险（含自然灾害险）（实施方案及条款见附件）。</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spacing w:val="8"/>
          <w:sz w:val="24"/>
          <w:szCs w:val="24"/>
          <w:lang w:val="en-US" w:eastAsia="zh-CN" w:bidi="ar-SA"/>
        </w:rPr>
        <w:t>2.2乙方需为中国保险监督管理委员会批准，可以开展责任保险业务的机构（具备经营责任保险业务许可证）；</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ascii="仿宋" w:hAnsi="仿宋" w:eastAsia="仿宋"/>
          <w:spacing w:val="8"/>
          <w:sz w:val="24"/>
          <w:szCs w:val="24"/>
        </w:rPr>
      </w:pPr>
      <w:r>
        <w:rPr>
          <w:rFonts w:hint="default" w:ascii="Times New Roman" w:hAnsi="Times New Roman" w:eastAsia="方正仿宋_GBK" w:cs="Times New Roman"/>
          <w:spacing w:val="8"/>
          <w:sz w:val="24"/>
          <w:szCs w:val="24"/>
          <w:lang w:val="en-US" w:eastAsia="zh-CN" w:bidi="ar-SA"/>
        </w:rPr>
        <w:t>2.3乙方应未被列入失信被执行人名单、重大税收违法案件当事人名单和中国政府采购网政府采购严重违法失信行为记录名单；</w:t>
      </w:r>
    </w:p>
    <w:p>
      <w:pPr>
        <w:keepNext w:val="0"/>
        <w:keepLines w:val="0"/>
        <w:pageBreakBefore w:val="0"/>
        <w:kinsoku/>
        <w:wordWrap/>
        <w:overflowPunct/>
        <w:topLinePunct w:val="0"/>
        <w:autoSpaceDE w:val="0"/>
        <w:autoSpaceDN w:val="0"/>
        <w:bidi w:val="0"/>
        <w:adjustRightInd/>
        <w:snapToGrid w:val="0"/>
        <w:spacing w:line="540" w:lineRule="exact"/>
        <w:textAlignment w:val="auto"/>
        <w:rPr>
          <w:rFonts w:hint="eastAsia" w:ascii="仿宋" w:hAnsi="仿宋" w:eastAsia="仿宋"/>
          <w:b/>
          <w:spacing w:val="8"/>
          <w:sz w:val="24"/>
          <w:szCs w:val="24"/>
        </w:rPr>
      </w:pPr>
      <w:r>
        <w:rPr>
          <w:rFonts w:hint="eastAsia" w:ascii="仿宋" w:hAnsi="仿宋" w:eastAsia="仿宋"/>
          <w:b/>
          <w:spacing w:val="8"/>
          <w:sz w:val="24"/>
          <w:szCs w:val="24"/>
        </w:rPr>
        <w:t xml:space="preserve">3. </w:t>
      </w:r>
      <w:r>
        <w:rPr>
          <w:rFonts w:hint="default" w:ascii="仿宋" w:hAnsi="仿宋" w:eastAsia="仿宋"/>
          <w:b/>
          <w:spacing w:val="8"/>
          <w:sz w:val="24"/>
          <w:szCs w:val="24"/>
        </w:rPr>
        <w:t>保险</w:t>
      </w:r>
      <w:r>
        <w:rPr>
          <w:rFonts w:hint="eastAsia" w:ascii="仿宋" w:hAnsi="仿宋" w:eastAsia="仿宋"/>
          <w:b/>
          <w:spacing w:val="8"/>
          <w:sz w:val="24"/>
          <w:szCs w:val="24"/>
        </w:rPr>
        <w:t>期限</w:t>
      </w:r>
    </w:p>
    <w:p>
      <w:pPr>
        <w:pStyle w:val="2"/>
        <w:rPr>
          <w:rFonts w:hint="default" w:eastAsia="仿宋"/>
          <w:sz w:val="24"/>
          <w:szCs w:val="24"/>
          <w:lang w:val="en-US" w:eastAsia="zh-CN"/>
        </w:rPr>
      </w:pPr>
      <w:r>
        <w:rPr>
          <w:rFonts w:hint="eastAsia" w:ascii="仿宋" w:hAnsi="仿宋" w:eastAsia="仿宋"/>
          <w:b/>
          <w:spacing w:val="8"/>
          <w:sz w:val="24"/>
          <w:szCs w:val="24"/>
          <w:lang w:val="en-US" w:eastAsia="zh-CN"/>
        </w:rPr>
        <w:t>自   年  月  日  至    年   月   日，共计    年。</w:t>
      </w:r>
    </w:p>
    <w:p>
      <w:pPr>
        <w:keepNext w:val="0"/>
        <w:keepLines w:val="0"/>
        <w:pageBreakBefore w:val="0"/>
        <w:tabs>
          <w:tab w:val="left" w:pos="1521"/>
        </w:tabs>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4. 服务内容与质量标准</w:t>
      </w:r>
    </w:p>
    <w:p>
      <w:pPr>
        <w:keepNext w:val="0"/>
        <w:keepLines w:val="0"/>
        <w:pageBreakBefore w:val="0"/>
        <w:widowControl w:val="0"/>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spacing w:val="8"/>
          <w:sz w:val="24"/>
          <w:szCs w:val="24"/>
          <w:lang w:val="en-US" w:eastAsia="zh-CN" w:bidi="ar-SA"/>
        </w:rPr>
        <w:t>4.1.由</w:t>
      </w:r>
      <w:r>
        <w:rPr>
          <w:rFonts w:hint="eastAsia" w:ascii="Times New Roman" w:hAnsi="Times New Roman" w:eastAsia="方正仿宋_GBK" w:cs="Times New Roman"/>
          <w:spacing w:val="8"/>
          <w:sz w:val="24"/>
          <w:szCs w:val="24"/>
          <w:lang w:val="en-US" w:eastAsia="zh-CN" w:bidi="ar-SA"/>
        </w:rPr>
        <w:t>乙方</w:t>
      </w:r>
      <w:r>
        <w:rPr>
          <w:rFonts w:hint="default" w:ascii="Times New Roman" w:hAnsi="Times New Roman" w:eastAsia="方正仿宋_GBK" w:cs="Times New Roman"/>
          <w:spacing w:val="8"/>
          <w:sz w:val="24"/>
          <w:szCs w:val="24"/>
          <w:lang w:val="en-US" w:eastAsia="zh-CN" w:bidi="ar-SA"/>
        </w:rPr>
        <w:t>全额负责在</w:t>
      </w:r>
      <w:r>
        <w:rPr>
          <w:rFonts w:hint="eastAsia" w:ascii="Times New Roman" w:hAnsi="Times New Roman" w:eastAsia="方正仿宋_GBK" w:cs="Times New Roman"/>
          <w:spacing w:val="8"/>
          <w:sz w:val="24"/>
          <w:szCs w:val="24"/>
          <w:lang w:val="en-US" w:eastAsia="zh-CN" w:bidi="ar-SA"/>
        </w:rPr>
        <w:t>甲方</w:t>
      </w:r>
      <w:r>
        <w:rPr>
          <w:rFonts w:hint="default" w:ascii="Times New Roman" w:hAnsi="Times New Roman" w:eastAsia="方正仿宋_GBK" w:cs="Times New Roman"/>
          <w:spacing w:val="8"/>
          <w:sz w:val="24"/>
          <w:szCs w:val="24"/>
          <w:lang w:val="en-US" w:eastAsia="zh-CN" w:bidi="ar-SA"/>
        </w:rPr>
        <w:t>管辖区域内的所有人员（包括景区居民、误入或者由其他途径进入的人员）在购票、观光、旅游、参观等过程中，发生身故、残疾、受伤、财物损害等情形的理赔。</w:t>
      </w:r>
    </w:p>
    <w:p>
      <w:pPr>
        <w:keepNext w:val="0"/>
        <w:keepLines w:val="0"/>
        <w:pageBreakBefore w:val="0"/>
        <w:widowControl w:val="0"/>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bCs w:val="0"/>
          <w:spacing w:val="8"/>
          <w:kern w:val="2"/>
          <w:sz w:val="24"/>
          <w:szCs w:val="24"/>
          <w:lang w:val="en-US" w:eastAsia="zh-CN" w:bidi="ar-SA"/>
        </w:rPr>
        <w:t>4.</w:t>
      </w:r>
      <w:r>
        <w:rPr>
          <w:rFonts w:hint="default" w:ascii="Times New Roman" w:hAnsi="Times New Roman" w:eastAsia="方正仿宋_GBK" w:cs="Times New Roman"/>
          <w:bCs w:val="0"/>
          <w:color w:val="000000"/>
          <w:spacing w:val="8"/>
          <w:kern w:val="2"/>
          <w:sz w:val="24"/>
          <w:szCs w:val="24"/>
          <w:lang w:val="en-US" w:eastAsia="zh-CN" w:bidi="ar-SA"/>
        </w:rPr>
        <w:t>2.</w:t>
      </w:r>
      <w:r>
        <w:rPr>
          <w:rFonts w:hint="eastAsia" w:ascii="Times New Roman" w:hAnsi="Times New Roman" w:eastAsia="方正仿宋_GBK" w:cs="Times New Roman"/>
          <w:bCs w:val="0"/>
          <w:spacing w:val="8"/>
          <w:kern w:val="2"/>
          <w:sz w:val="24"/>
          <w:szCs w:val="24"/>
          <w:lang w:val="en-US" w:eastAsia="zh-CN" w:bidi="ar-SA"/>
        </w:rPr>
        <w:t>甲方</w:t>
      </w:r>
      <w:r>
        <w:rPr>
          <w:rFonts w:hint="eastAsia" w:ascii="Times New Roman" w:hAnsi="Times New Roman" w:eastAsia="方正仿宋_GBK" w:cs="Times New Roman"/>
          <w:spacing w:val="8"/>
          <w:sz w:val="24"/>
          <w:szCs w:val="24"/>
          <w:lang w:eastAsia="zh-CN" w:bidi="ar-SA"/>
        </w:rPr>
        <w:t>管辖区域内因购票、观光、旅游、参观的人员（含景区居民、误入或者有其他途径进入的人员）出现</w:t>
      </w:r>
      <w:r>
        <w:rPr>
          <w:rFonts w:hint="default" w:ascii="Times New Roman" w:hAnsi="Times New Roman" w:eastAsia="方正仿宋_GBK" w:cs="Times New Roman"/>
          <w:spacing w:val="8"/>
          <w:sz w:val="24"/>
          <w:szCs w:val="24"/>
          <w:lang w:val="en-US" w:eastAsia="zh-CN" w:bidi="ar-SA"/>
        </w:rPr>
        <w:t>身故、残疾、受伤、财物损害等情形</w:t>
      </w:r>
      <w:r>
        <w:rPr>
          <w:rFonts w:hint="eastAsia" w:ascii="Times New Roman" w:hAnsi="Times New Roman" w:eastAsia="方正仿宋_GBK" w:cs="Times New Roman"/>
          <w:spacing w:val="8"/>
          <w:sz w:val="24"/>
          <w:szCs w:val="24"/>
          <w:lang w:eastAsia="zh-CN" w:bidi="ar-SA"/>
        </w:rPr>
        <w:t>，且该等情形所涉伤害人员亲属要求采购人承担责任的，</w:t>
      </w:r>
      <w:r>
        <w:rPr>
          <w:rFonts w:hint="default" w:ascii="Times New Roman" w:hAnsi="Times New Roman" w:eastAsia="方正仿宋_GBK" w:cs="Times New Roman"/>
          <w:spacing w:val="8"/>
          <w:sz w:val="24"/>
          <w:szCs w:val="24"/>
          <w:lang w:val="en-US" w:eastAsia="zh-CN" w:bidi="ar-SA"/>
        </w:rPr>
        <w:t>由国家相关机构认定</w:t>
      </w:r>
      <w:r>
        <w:rPr>
          <w:rFonts w:hint="eastAsia" w:ascii="Times New Roman" w:hAnsi="Times New Roman" w:eastAsia="方正仿宋_GBK" w:cs="Times New Roman"/>
          <w:spacing w:val="8"/>
          <w:sz w:val="24"/>
          <w:szCs w:val="24"/>
          <w:lang w:eastAsia="zh-CN" w:bidi="ar-SA"/>
        </w:rPr>
        <w:t>、</w:t>
      </w:r>
      <w:r>
        <w:rPr>
          <w:rFonts w:hint="default" w:ascii="Times New Roman" w:hAnsi="Times New Roman" w:eastAsia="方正仿宋_GBK" w:cs="Times New Roman"/>
          <w:spacing w:val="8"/>
          <w:sz w:val="24"/>
          <w:szCs w:val="24"/>
          <w:lang w:val="en-US" w:eastAsia="zh-CN" w:bidi="ar-SA"/>
        </w:rPr>
        <w:t>或者经九寨沟县政府</w:t>
      </w:r>
      <w:r>
        <w:rPr>
          <w:rFonts w:hint="eastAsia" w:ascii="Times New Roman" w:hAnsi="Times New Roman" w:eastAsia="方正仿宋_GBK" w:cs="Times New Roman"/>
          <w:spacing w:val="8"/>
          <w:sz w:val="24"/>
          <w:szCs w:val="24"/>
          <w:lang w:eastAsia="zh-CN" w:bidi="ar-SA"/>
        </w:rPr>
        <w:t>及九寨沟县漳扎镇政府等</w:t>
      </w:r>
      <w:r>
        <w:rPr>
          <w:rFonts w:hint="default" w:ascii="Times New Roman" w:hAnsi="Times New Roman" w:eastAsia="方正仿宋_GBK" w:cs="Times New Roman"/>
          <w:spacing w:val="8"/>
          <w:sz w:val="24"/>
          <w:szCs w:val="24"/>
          <w:lang w:val="en-US" w:eastAsia="zh-CN" w:bidi="ar-SA"/>
        </w:rPr>
        <w:t>机构参与</w:t>
      </w:r>
      <w:r>
        <w:rPr>
          <w:rFonts w:hint="eastAsia" w:ascii="Times New Roman" w:hAnsi="Times New Roman" w:eastAsia="方正仿宋_GBK" w:cs="Times New Roman"/>
          <w:spacing w:val="8"/>
          <w:sz w:val="24"/>
          <w:szCs w:val="24"/>
          <w:lang w:eastAsia="zh-CN" w:bidi="ar-SA"/>
        </w:rPr>
        <w:t>、或者由</w:t>
      </w:r>
      <w:r>
        <w:rPr>
          <w:rFonts w:hint="eastAsia" w:ascii="Times New Roman" w:hAnsi="Times New Roman" w:eastAsia="方正仿宋_GBK" w:cs="Times New Roman"/>
          <w:spacing w:val="8"/>
          <w:sz w:val="24"/>
          <w:szCs w:val="24"/>
          <w:lang w:val="en-US" w:eastAsia="zh-CN" w:bidi="ar-SA"/>
        </w:rPr>
        <w:t>甲方</w:t>
      </w:r>
      <w:r>
        <w:rPr>
          <w:rFonts w:hint="eastAsia" w:ascii="Times New Roman" w:hAnsi="Times New Roman" w:eastAsia="方正仿宋_GBK" w:cs="Times New Roman"/>
          <w:spacing w:val="8"/>
          <w:sz w:val="24"/>
          <w:szCs w:val="24"/>
          <w:lang w:eastAsia="zh-CN" w:bidi="ar-SA"/>
        </w:rPr>
        <w:t>经</w:t>
      </w:r>
      <w:r>
        <w:rPr>
          <w:rFonts w:hint="default" w:ascii="Times New Roman" w:hAnsi="Times New Roman" w:eastAsia="方正仿宋_GBK" w:cs="Times New Roman"/>
          <w:spacing w:val="8"/>
          <w:sz w:val="24"/>
          <w:szCs w:val="24"/>
          <w:lang w:val="en-US" w:eastAsia="zh-CN" w:bidi="ar-SA"/>
        </w:rPr>
        <w:t>协商确认采购人</w:t>
      </w:r>
      <w:r>
        <w:rPr>
          <w:rFonts w:hint="eastAsia" w:ascii="Times New Roman" w:hAnsi="Times New Roman" w:eastAsia="方正仿宋_GBK" w:cs="Times New Roman"/>
          <w:spacing w:val="8"/>
          <w:sz w:val="24"/>
          <w:szCs w:val="24"/>
          <w:lang w:eastAsia="zh-CN" w:bidi="ar-SA"/>
        </w:rPr>
        <w:t>需要</w:t>
      </w:r>
      <w:r>
        <w:rPr>
          <w:rFonts w:hint="default" w:ascii="Times New Roman" w:hAnsi="Times New Roman" w:eastAsia="方正仿宋_GBK" w:cs="Times New Roman"/>
          <w:spacing w:val="8"/>
          <w:sz w:val="24"/>
          <w:szCs w:val="24"/>
          <w:lang w:val="en-US" w:eastAsia="zh-CN" w:bidi="ar-SA"/>
        </w:rPr>
        <w:t>承担人道补偿、援助责任的，或者</w:t>
      </w:r>
      <w:r>
        <w:rPr>
          <w:rFonts w:hint="eastAsia" w:ascii="Times New Roman" w:hAnsi="Times New Roman" w:eastAsia="方正仿宋_GBK" w:cs="Times New Roman"/>
          <w:spacing w:val="8"/>
          <w:sz w:val="24"/>
          <w:szCs w:val="24"/>
          <w:lang w:eastAsia="zh-CN" w:bidi="ar-SA"/>
        </w:rPr>
        <w:t>经人民</w:t>
      </w:r>
      <w:r>
        <w:rPr>
          <w:rFonts w:hint="default" w:ascii="Times New Roman" w:hAnsi="Times New Roman" w:eastAsia="方正仿宋_GBK" w:cs="Times New Roman"/>
          <w:spacing w:val="8"/>
          <w:sz w:val="24"/>
          <w:szCs w:val="24"/>
          <w:lang w:val="en-US" w:eastAsia="zh-CN" w:bidi="ar-SA"/>
        </w:rPr>
        <w:t>法院判决（</w:t>
      </w:r>
      <w:r>
        <w:rPr>
          <w:rFonts w:hint="eastAsia" w:ascii="Times New Roman" w:hAnsi="Times New Roman" w:eastAsia="方正仿宋_GBK" w:cs="Times New Roman"/>
          <w:spacing w:val="8"/>
          <w:sz w:val="24"/>
          <w:szCs w:val="24"/>
          <w:lang w:eastAsia="zh-CN" w:bidi="ar-SA"/>
        </w:rPr>
        <w:t>包括</w:t>
      </w:r>
      <w:r>
        <w:rPr>
          <w:rFonts w:hint="default" w:ascii="Times New Roman" w:hAnsi="Times New Roman" w:eastAsia="方正仿宋_GBK" w:cs="Times New Roman"/>
          <w:spacing w:val="8"/>
          <w:sz w:val="24"/>
          <w:szCs w:val="24"/>
          <w:lang w:val="en-US" w:eastAsia="zh-CN" w:bidi="ar-SA"/>
        </w:rPr>
        <w:t>调解）属于</w:t>
      </w:r>
      <w:r>
        <w:rPr>
          <w:rFonts w:hint="eastAsia" w:ascii="Times New Roman" w:hAnsi="Times New Roman" w:eastAsia="方正仿宋_GBK" w:cs="Times New Roman"/>
          <w:spacing w:val="8"/>
          <w:sz w:val="24"/>
          <w:szCs w:val="24"/>
          <w:lang w:val="en-US" w:eastAsia="zh-CN" w:bidi="ar-SA"/>
        </w:rPr>
        <w:t>甲方</w:t>
      </w:r>
      <w:r>
        <w:rPr>
          <w:rFonts w:hint="default" w:ascii="Times New Roman" w:hAnsi="Times New Roman" w:eastAsia="方正仿宋_GBK" w:cs="Times New Roman"/>
          <w:spacing w:val="8"/>
          <w:sz w:val="24"/>
          <w:szCs w:val="24"/>
          <w:lang w:val="en-US" w:eastAsia="zh-CN" w:bidi="ar-SA"/>
        </w:rPr>
        <w:t>责任</w:t>
      </w:r>
      <w:r>
        <w:rPr>
          <w:rFonts w:hint="eastAsia" w:ascii="Times New Roman" w:hAnsi="Times New Roman" w:eastAsia="方正仿宋_GBK" w:cs="Times New Roman"/>
          <w:spacing w:val="8"/>
          <w:sz w:val="24"/>
          <w:szCs w:val="24"/>
        </w:rPr>
        <w:t>并应由</w:t>
      </w:r>
      <w:r>
        <w:rPr>
          <w:rFonts w:hint="eastAsia" w:ascii="Times New Roman" w:hAnsi="Times New Roman" w:eastAsia="方正仿宋_GBK" w:cs="Times New Roman"/>
          <w:spacing w:val="8"/>
          <w:sz w:val="24"/>
          <w:szCs w:val="24"/>
          <w:lang w:val="en-US" w:eastAsia="zh-CN"/>
        </w:rPr>
        <w:t>甲方</w:t>
      </w:r>
      <w:r>
        <w:rPr>
          <w:rFonts w:hint="eastAsia" w:ascii="Times New Roman" w:hAnsi="Times New Roman" w:eastAsia="方正仿宋_GBK" w:cs="Times New Roman"/>
          <w:spacing w:val="8"/>
          <w:sz w:val="24"/>
          <w:szCs w:val="24"/>
        </w:rPr>
        <w:t>承担赔偿责任</w:t>
      </w:r>
      <w:r>
        <w:rPr>
          <w:rFonts w:hint="default" w:ascii="Times New Roman" w:hAnsi="Times New Roman" w:eastAsia="方正仿宋_GBK" w:cs="Times New Roman"/>
          <w:spacing w:val="8"/>
          <w:sz w:val="24"/>
          <w:szCs w:val="24"/>
          <w:lang w:val="en-US" w:eastAsia="zh-CN" w:bidi="ar-SA"/>
        </w:rPr>
        <w:t>的，均</w:t>
      </w:r>
      <w:r>
        <w:rPr>
          <w:rFonts w:hint="eastAsia" w:ascii="Times New Roman" w:hAnsi="Times New Roman" w:eastAsia="方正仿宋_GBK" w:cs="Times New Roman"/>
          <w:spacing w:val="8"/>
          <w:sz w:val="24"/>
          <w:szCs w:val="24"/>
          <w:lang w:val="en-US" w:eastAsia="zh-CN" w:bidi="ar-SA"/>
        </w:rPr>
        <w:t>由乙方负责</w:t>
      </w:r>
      <w:r>
        <w:rPr>
          <w:rFonts w:hint="default" w:ascii="Times New Roman" w:hAnsi="Times New Roman" w:eastAsia="方正仿宋_GBK" w:cs="Times New Roman"/>
          <w:spacing w:val="8"/>
          <w:sz w:val="24"/>
          <w:szCs w:val="24"/>
          <w:lang w:val="en-US" w:eastAsia="zh-CN" w:bidi="ar-SA"/>
        </w:rPr>
        <w:t>全额赔偿。</w:t>
      </w:r>
    </w:p>
    <w:p>
      <w:pPr>
        <w:keepNext w:val="0"/>
        <w:keepLines w:val="0"/>
        <w:pageBreakBefore w:val="0"/>
        <w:widowControl/>
        <w:kinsoku/>
        <w:wordWrap/>
        <w:overflowPunct/>
        <w:topLinePunct w:val="0"/>
        <w:autoSpaceDE w:val="0"/>
        <w:autoSpaceDN w:val="0"/>
        <w:bidi w:val="0"/>
        <w:adjustRightInd/>
        <w:snapToGrid w:val="0"/>
        <w:spacing w:after="0" w:line="540" w:lineRule="exact"/>
        <w:ind w:firstLine="609" w:firstLineChars="238"/>
        <w:textAlignment w:val="auto"/>
        <w:rPr>
          <w:rFonts w:hint="eastAsia"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bCs w:val="0"/>
          <w:spacing w:val="8"/>
          <w:kern w:val="2"/>
          <w:sz w:val="24"/>
          <w:szCs w:val="24"/>
          <w:lang w:val="en-US" w:eastAsia="zh-CN" w:bidi="ar-SA"/>
        </w:rPr>
        <w:t>4.</w:t>
      </w:r>
      <w:r>
        <w:rPr>
          <w:rFonts w:hint="default" w:ascii="Times New Roman" w:hAnsi="Times New Roman" w:eastAsia="方正仿宋_GBK" w:cs="Times New Roman"/>
          <w:bCs w:val="0"/>
          <w:color w:val="000000"/>
          <w:spacing w:val="8"/>
          <w:kern w:val="2"/>
          <w:sz w:val="24"/>
          <w:szCs w:val="24"/>
          <w:lang w:val="en-US" w:eastAsia="zh-CN" w:bidi="ar-SA"/>
        </w:rPr>
        <w:t>3.</w:t>
      </w:r>
      <w:r>
        <w:rPr>
          <w:rFonts w:hint="default" w:ascii="Times New Roman" w:hAnsi="Times New Roman" w:eastAsia="方正仿宋_GBK" w:cs="Times New Roman"/>
          <w:spacing w:val="8"/>
          <w:sz w:val="24"/>
          <w:szCs w:val="24"/>
          <w:lang w:val="en-US" w:eastAsia="zh-CN" w:bidi="ar-SA"/>
        </w:rPr>
        <w:t>承保期间，需要由</w:t>
      </w:r>
      <w:r>
        <w:rPr>
          <w:rFonts w:hint="eastAsia" w:ascii="Times New Roman" w:hAnsi="Times New Roman" w:eastAsia="方正仿宋_GBK" w:cs="Times New Roman"/>
          <w:spacing w:val="8"/>
          <w:sz w:val="24"/>
          <w:szCs w:val="24"/>
          <w:lang w:val="en-US" w:eastAsia="zh-CN" w:bidi="ar-SA"/>
        </w:rPr>
        <w:t>甲方</w:t>
      </w:r>
      <w:r>
        <w:rPr>
          <w:rFonts w:hint="default" w:ascii="Times New Roman" w:hAnsi="Times New Roman" w:eastAsia="方正仿宋_GBK" w:cs="Times New Roman"/>
          <w:spacing w:val="8"/>
          <w:sz w:val="24"/>
          <w:szCs w:val="24"/>
          <w:lang w:val="en-US" w:eastAsia="zh-CN" w:bidi="ar-SA"/>
        </w:rPr>
        <w:t>支付的费用</w:t>
      </w:r>
      <w:r>
        <w:rPr>
          <w:rFonts w:hint="eastAsia" w:ascii="Times New Roman" w:hAnsi="Times New Roman" w:eastAsia="方正仿宋_GBK" w:cs="Times New Roman"/>
          <w:spacing w:val="8"/>
          <w:sz w:val="24"/>
          <w:szCs w:val="24"/>
        </w:rPr>
        <w:t>，包括但不限于死亡赔偿费、误工费、住院治疗费、交通费、营养费、人道补偿等财产损害赔偿费和人身损害赔偿费，</w:t>
      </w:r>
      <w:r>
        <w:rPr>
          <w:rFonts w:hint="default" w:ascii="Times New Roman" w:hAnsi="Times New Roman" w:eastAsia="方正仿宋_GBK" w:cs="Times New Roman"/>
          <w:spacing w:val="8"/>
          <w:sz w:val="24"/>
          <w:szCs w:val="24"/>
          <w:lang w:val="en-US" w:eastAsia="zh-CN" w:bidi="ar-SA"/>
        </w:rPr>
        <w:t>均由</w:t>
      </w:r>
      <w:r>
        <w:rPr>
          <w:rFonts w:hint="eastAsia" w:ascii="Times New Roman" w:hAnsi="Times New Roman" w:eastAsia="方正仿宋_GBK" w:cs="Times New Roman"/>
          <w:spacing w:val="8"/>
          <w:sz w:val="24"/>
          <w:szCs w:val="24"/>
          <w:lang w:val="en-US" w:eastAsia="zh-CN" w:bidi="ar-SA"/>
        </w:rPr>
        <w:t>乙方</w:t>
      </w:r>
      <w:r>
        <w:rPr>
          <w:rFonts w:hint="default" w:ascii="Times New Roman" w:hAnsi="Times New Roman" w:eastAsia="方正仿宋_GBK" w:cs="Times New Roman"/>
          <w:spacing w:val="8"/>
          <w:sz w:val="24"/>
          <w:szCs w:val="24"/>
          <w:lang w:val="en-US" w:eastAsia="zh-CN" w:bidi="ar-SA"/>
        </w:rPr>
        <w:t>负责承担。</w:t>
      </w:r>
    </w:p>
    <w:p>
      <w:pPr>
        <w:keepNext w:val="0"/>
        <w:keepLines w:val="0"/>
        <w:pageBreakBefore w:val="0"/>
        <w:widowControl/>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bCs w:val="0"/>
          <w:color w:val="000000"/>
          <w:spacing w:val="8"/>
          <w:kern w:val="2"/>
          <w:sz w:val="24"/>
          <w:szCs w:val="24"/>
          <w:lang w:val="en-US" w:eastAsia="zh-CN" w:bidi="ar-SA"/>
        </w:rPr>
        <w:t>4</w:t>
      </w:r>
      <w:r>
        <w:rPr>
          <w:rFonts w:hint="default" w:ascii="Times New Roman" w:hAnsi="Times New Roman" w:eastAsia="方正仿宋_GBK" w:cs="Times New Roman"/>
          <w:bCs w:val="0"/>
          <w:spacing w:val="8"/>
          <w:kern w:val="2"/>
          <w:sz w:val="24"/>
          <w:szCs w:val="24"/>
          <w:lang w:val="en-US" w:eastAsia="zh-CN" w:bidi="ar-SA"/>
        </w:rPr>
        <w:t>.4</w:t>
      </w:r>
      <w:r>
        <w:rPr>
          <w:rFonts w:hint="default" w:ascii="Times New Roman" w:hAnsi="Times New Roman" w:eastAsia="方正仿宋_GBK" w:cs="Times New Roman"/>
          <w:bCs w:val="0"/>
          <w:color w:val="000000"/>
          <w:spacing w:val="8"/>
          <w:kern w:val="2"/>
          <w:sz w:val="24"/>
          <w:szCs w:val="24"/>
          <w:lang w:val="en-US" w:eastAsia="zh-CN" w:bidi="ar-SA"/>
        </w:rPr>
        <w:t>.</w:t>
      </w:r>
      <w:r>
        <w:rPr>
          <w:rFonts w:hint="default" w:ascii="Times New Roman" w:hAnsi="Times New Roman" w:eastAsia="方正仿宋_GBK" w:cs="Times New Roman"/>
          <w:spacing w:val="8"/>
          <w:sz w:val="24"/>
          <w:szCs w:val="24"/>
          <w:lang w:val="en-US" w:eastAsia="zh-CN" w:bidi="ar-SA"/>
        </w:rPr>
        <w:t>《九寨沟风景名胜区责任保险》扩展《自然灾害公众责任保险》保险责任为由气象部门发布的暴雨风、暴雨、崖崩、雷击、洪水、龙卷风、飓线、台风（热带风暴）、海啸 、泥石流、突发性滑坡、冰雹自然灾害原因造成</w:t>
      </w:r>
      <w:r>
        <w:rPr>
          <w:rFonts w:hint="eastAsia" w:ascii="Times New Roman" w:hAnsi="Times New Roman" w:eastAsia="方正仿宋_GBK" w:cs="Times New Roman"/>
          <w:spacing w:val="8"/>
          <w:sz w:val="24"/>
          <w:szCs w:val="24"/>
          <w:lang w:val="en-US" w:eastAsia="zh-CN" w:bidi="ar-SA"/>
        </w:rPr>
        <w:t>甲方</w:t>
      </w:r>
      <w:r>
        <w:rPr>
          <w:rFonts w:hint="default" w:ascii="Times New Roman" w:hAnsi="Times New Roman" w:eastAsia="方正仿宋_GBK" w:cs="Times New Roman"/>
          <w:spacing w:val="8"/>
          <w:sz w:val="24"/>
          <w:szCs w:val="24"/>
          <w:lang w:val="en-US" w:eastAsia="zh-CN" w:bidi="ar-SA"/>
        </w:rPr>
        <w:t>管辖区内所有人员人身伤亡或财产损失(不含景区内居民和九寨沟管理局财产），由</w:t>
      </w:r>
      <w:r>
        <w:rPr>
          <w:rFonts w:hint="eastAsia" w:ascii="Times New Roman" w:hAnsi="Times New Roman" w:eastAsia="方正仿宋_GBK" w:cs="Times New Roman"/>
          <w:spacing w:val="8"/>
          <w:sz w:val="24"/>
          <w:szCs w:val="24"/>
          <w:lang w:val="en-US" w:eastAsia="zh-CN" w:bidi="ar-SA"/>
        </w:rPr>
        <w:t>乙方负责全额</w:t>
      </w:r>
      <w:r>
        <w:rPr>
          <w:rFonts w:hint="default" w:ascii="Times New Roman" w:hAnsi="Times New Roman" w:eastAsia="方正仿宋_GBK" w:cs="Times New Roman"/>
          <w:spacing w:val="8"/>
          <w:sz w:val="24"/>
          <w:szCs w:val="24"/>
          <w:lang w:val="en-US" w:eastAsia="zh-CN" w:bidi="ar-SA"/>
        </w:rPr>
        <w:t>赔偿。</w:t>
      </w:r>
    </w:p>
    <w:p>
      <w:pPr>
        <w:keepNext w:val="0"/>
        <w:keepLines w:val="0"/>
        <w:pageBreakBefore w:val="0"/>
        <w:widowControl/>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bCs w:val="0"/>
          <w:spacing w:val="8"/>
          <w:kern w:val="2"/>
          <w:sz w:val="24"/>
          <w:szCs w:val="24"/>
          <w:lang w:val="en-US" w:eastAsia="zh-CN" w:bidi="ar-SA"/>
        </w:rPr>
        <w:t>4.</w:t>
      </w:r>
      <w:r>
        <w:rPr>
          <w:rFonts w:hint="default" w:ascii="Times New Roman" w:hAnsi="Times New Roman" w:eastAsia="方正仿宋_GBK" w:cs="Times New Roman"/>
          <w:bCs w:val="0"/>
          <w:color w:val="000000"/>
          <w:spacing w:val="8"/>
          <w:kern w:val="2"/>
          <w:sz w:val="24"/>
          <w:szCs w:val="24"/>
          <w:lang w:val="en-US" w:eastAsia="zh-CN" w:bidi="ar-SA"/>
        </w:rPr>
        <w:t>5.</w:t>
      </w:r>
      <w:r>
        <w:rPr>
          <w:rFonts w:hint="default" w:ascii="Times New Roman" w:hAnsi="Times New Roman" w:eastAsia="方正仿宋_GBK" w:cs="Times New Roman"/>
          <w:spacing w:val="8"/>
          <w:sz w:val="24"/>
          <w:szCs w:val="24"/>
          <w:lang w:val="en-US" w:eastAsia="zh-CN" w:bidi="ar-SA"/>
        </w:rPr>
        <w:t>在治疗及后续康复期间，由</w:t>
      </w:r>
      <w:r>
        <w:rPr>
          <w:rFonts w:hint="eastAsia" w:ascii="Times New Roman" w:hAnsi="Times New Roman" w:eastAsia="方正仿宋_GBK" w:cs="Times New Roman"/>
          <w:spacing w:val="8"/>
          <w:sz w:val="24"/>
          <w:szCs w:val="24"/>
          <w:lang w:val="en-US" w:eastAsia="zh-CN" w:bidi="ar-SA"/>
        </w:rPr>
        <w:t>乙方</w:t>
      </w:r>
      <w:r>
        <w:rPr>
          <w:rFonts w:hint="default" w:ascii="Times New Roman" w:hAnsi="Times New Roman" w:eastAsia="方正仿宋_GBK" w:cs="Times New Roman"/>
          <w:spacing w:val="8"/>
          <w:sz w:val="24"/>
          <w:szCs w:val="24"/>
          <w:lang w:val="en-US" w:eastAsia="zh-CN" w:bidi="ar-SA"/>
        </w:rPr>
        <w:t>提前预支受伤害者医疗等相关费用。</w:t>
      </w:r>
    </w:p>
    <w:p>
      <w:pPr>
        <w:keepNext w:val="0"/>
        <w:keepLines w:val="0"/>
        <w:pageBreakBefore w:val="0"/>
        <w:widowControl/>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spacing w:val="8"/>
          <w:sz w:val="24"/>
          <w:szCs w:val="24"/>
          <w:lang w:val="en-US" w:eastAsia="zh-CN" w:bidi="ar-SA"/>
        </w:rPr>
        <w:t>4.6.保险期限：202</w:t>
      </w:r>
      <w:r>
        <w:rPr>
          <w:rFonts w:hint="eastAsia" w:ascii="Times New Roman" w:hAnsi="Times New Roman" w:eastAsia="方正仿宋_GBK" w:cs="Times New Roman"/>
          <w:spacing w:val="8"/>
          <w:sz w:val="24"/>
          <w:szCs w:val="24"/>
          <w:lang w:val="en-US" w:eastAsia="zh-CN" w:bidi="ar-SA"/>
        </w:rPr>
        <w:t>3</w:t>
      </w:r>
      <w:r>
        <w:rPr>
          <w:rFonts w:hint="default" w:ascii="Times New Roman" w:hAnsi="Times New Roman" w:eastAsia="方正仿宋_GBK" w:cs="Times New Roman"/>
          <w:spacing w:val="8"/>
          <w:sz w:val="24"/>
          <w:szCs w:val="24"/>
          <w:lang w:val="en-US" w:eastAsia="zh-CN" w:bidi="ar-SA"/>
        </w:rPr>
        <w:t>年    月   日至202</w:t>
      </w:r>
      <w:r>
        <w:rPr>
          <w:rFonts w:hint="eastAsia" w:ascii="Times New Roman" w:hAnsi="Times New Roman" w:eastAsia="方正仿宋_GBK" w:cs="Times New Roman"/>
          <w:spacing w:val="8"/>
          <w:sz w:val="24"/>
          <w:szCs w:val="24"/>
          <w:lang w:val="en-US" w:eastAsia="zh-CN" w:bidi="ar-SA"/>
        </w:rPr>
        <w:t>4</w:t>
      </w:r>
      <w:r>
        <w:rPr>
          <w:rFonts w:hint="default" w:ascii="Times New Roman" w:hAnsi="Times New Roman" w:eastAsia="方正仿宋_GBK" w:cs="Times New Roman"/>
          <w:spacing w:val="8"/>
          <w:sz w:val="24"/>
          <w:szCs w:val="24"/>
          <w:lang w:val="en-US" w:eastAsia="zh-CN" w:bidi="ar-SA"/>
        </w:rPr>
        <w:t>年   月   日.</w:t>
      </w:r>
    </w:p>
    <w:p>
      <w:pPr>
        <w:keepNext w:val="0"/>
        <w:keepLines w:val="0"/>
        <w:pageBreakBefore w:val="0"/>
        <w:widowControl w:val="0"/>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b w:val="0"/>
          <w:bCs w:val="0"/>
          <w:spacing w:val="8"/>
          <w:kern w:val="2"/>
          <w:sz w:val="24"/>
          <w:szCs w:val="24"/>
          <w:lang w:val="en-US" w:eastAsia="zh-CN" w:bidi="ar-SA"/>
        </w:rPr>
      </w:pPr>
      <w:r>
        <w:rPr>
          <w:rFonts w:hint="default" w:ascii="Times New Roman" w:hAnsi="Times New Roman" w:eastAsia="方正仿宋_GBK" w:cs="Times New Roman"/>
          <w:spacing w:val="8"/>
          <w:sz w:val="24"/>
          <w:szCs w:val="24"/>
          <w:lang w:val="en-US" w:eastAsia="zh-CN" w:bidi="ar-SA"/>
        </w:rPr>
        <w:t>4.7保障额度</w:t>
      </w:r>
      <w:r>
        <w:rPr>
          <w:rFonts w:hint="default" w:ascii="Times New Roman" w:hAnsi="Times New Roman" w:eastAsia="方正仿宋_GBK" w:cs="Times New Roman"/>
          <w:b w:val="0"/>
          <w:bCs w:val="0"/>
          <w:spacing w:val="8"/>
          <w:kern w:val="2"/>
          <w:sz w:val="24"/>
          <w:szCs w:val="24"/>
          <w:lang w:val="en-US" w:eastAsia="zh-CN" w:bidi="ar-SA"/>
        </w:rPr>
        <w:t xml:space="preserve"> </w:t>
      </w:r>
    </w:p>
    <w:p>
      <w:pPr>
        <w:keepNext w:val="0"/>
        <w:keepLines w:val="0"/>
        <w:pageBreakBefore w:val="0"/>
        <w:widowControl/>
        <w:kinsoku/>
        <w:wordWrap/>
        <w:overflowPunct/>
        <w:topLinePunct w:val="0"/>
        <w:autoSpaceDE w:val="0"/>
        <w:autoSpaceDN w:val="0"/>
        <w:bidi w:val="0"/>
        <w:snapToGrid w:val="0"/>
        <w:spacing w:after="0" w:line="540" w:lineRule="exact"/>
        <w:ind w:firstLine="609" w:firstLineChars="238"/>
        <w:jc w:val="left"/>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spacing w:val="8"/>
          <w:sz w:val="24"/>
          <w:szCs w:val="24"/>
          <w:lang w:val="en-US" w:eastAsia="zh-CN" w:bidi="ar-SA"/>
        </w:rPr>
        <w:t>该保险保障额度年度累计责任限额2000万,每次事故责任限额500万。其中：</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b w:val="0"/>
          <w:bCs w:val="0"/>
          <w:spacing w:val="8"/>
          <w:sz w:val="24"/>
          <w:szCs w:val="24"/>
          <w:lang w:val="en-US" w:eastAsia="zh-CN"/>
        </w:rPr>
        <w:t>4.7.</w:t>
      </w:r>
      <w:r>
        <w:rPr>
          <w:rFonts w:hint="default" w:ascii="Times New Roman" w:hAnsi="Times New Roman" w:eastAsia="方正仿宋_GBK" w:cs="Times New Roman"/>
          <w:b w:val="0"/>
          <w:bCs w:val="0"/>
          <w:color w:val="auto"/>
          <w:spacing w:val="8"/>
          <w:sz w:val="24"/>
          <w:szCs w:val="24"/>
          <w:lang w:val="en-US" w:eastAsia="zh-CN"/>
        </w:rPr>
        <w:t>1.</w:t>
      </w:r>
      <w:r>
        <w:rPr>
          <w:rFonts w:hint="default" w:ascii="Times New Roman" w:hAnsi="Times New Roman" w:eastAsia="方正仿宋_GBK" w:cs="Times New Roman"/>
          <w:spacing w:val="8"/>
          <w:sz w:val="24"/>
          <w:szCs w:val="24"/>
          <w:lang w:val="en-US" w:eastAsia="zh-CN" w:bidi="ar-SA"/>
        </w:rPr>
        <w:t>身故/残疾的保障额度限额为每次事故每人200万元；其中：精神损害赔偿限额10万元；</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bidi="ar-SA"/>
        </w:rPr>
      </w:pPr>
      <w:r>
        <w:rPr>
          <w:rFonts w:hint="default" w:ascii="Times New Roman" w:hAnsi="Times New Roman" w:eastAsia="方正仿宋_GBK" w:cs="Times New Roman"/>
          <w:b w:val="0"/>
          <w:bCs w:val="0"/>
          <w:spacing w:val="8"/>
          <w:sz w:val="24"/>
          <w:szCs w:val="24"/>
          <w:lang w:val="en-US" w:eastAsia="zh-CN"/>
        </w:rPr>
        <w:t>4.7.</w:t>
      </w:r>
      <w:r>
        <w:rPr>
          <w:rFonts w:hint="default" w:ascii="Times New Roman" w:hAnsi="Times New Roman" w:eastAsia="方正仿宋_GBK" w:cs="Times New Roman"/>
          <w:b w:val="0"/>
          <w:bCs w:val="0"/>
          <w:color w:val="auto"/>
          <w:spacing w:val="8"/>
          <w:sz w:val="24"/>
          <w:szCs w:val="24"/>
          <w:lang w:val="en-US" w:eastAsia="zh-CN"/>
        </w:rPr>
        <w:t>2.</w:t>
      </w:r>
      <w:r>
        <w:rPr>
          <w:rFonts w:hint="default" w:ascii="Times New Roman" w:hAnsi="Times New Roman" w:eastAsia="方正仿宋_GBK" w:cs="Times New Roman"/>
          <w:spacing w:val="8"/>
          <w:sz w:val="24"/>
          <w:szCs w:val="24"/>
          <w:lang w:val="en-US" w:eastAsia="zh-CN" w:bidi="ar-SA"/>
        </w:rPr>
        <w:t>医疗费的保障额度限额为每次事故每人100万元;包括治疗期间（住院及出院治疗期间）所有医疗费、误工费、护理费及伙食补助费、营养费等所有费用。</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b w:val="0"/>
          <w:bCs w:val="0"/>
          <w:color w:val="auto"/>
          <w:spacing w:val="8"/>
          <w:sz w:val="24"/>
          <w:szCs w:val="24"/>
          <w:lang w:val="en-US" w:eastAsia="zh-CN"/>
        </w:rPr>
      </w:pPr>
      <w:r>
        <w:rPr>
          <w:rFonts w:hint="default" w:ascii="Times New Roman" w:hAnsi="Times New Roman" w:eastAsia="方正仿宋_GBK" w:cs="Times New Roman"/>
          <w:b w:val="0"/>
          <w:bCs w:val="0"/>
          <w:spacing w:val="8"/>
          <w:sz w:val="24"/>
          <w:szCs w:val="24"/>
          <w:lang w:val="en-US" w:eastAsia="zh-CN"/>
        </w:rPr>
        <w:t>4.7.</w:t>
      </w:r>
      <w:r>
        <w:rPr>
          <w:rFonts w:hint="default" w:ascii="Times New Roman" w:hAnsi="Times New Roman" w:eastAsia="方正仿宋_GBK" w:cs="Times New Roman"/>
          <w:b w:val="0"/>
          <w:bCs w:val="0"/>
          <w:color w:val="auto"/>
          <w:spacing w:val="8"/>
          <w:sz w:val="24"/>
          <w:szCs w:val="24"/>
          <w:lang w:val="en-US" w:eastAsia="zh-CN"/>
        </w:rPr>
        <w:t>3.</w:t>
      </w:r>
      <w:r>
        <w:rPr>
          <w:rFonts w:hint="default" w:ascii="Times New Roman" w:hAnsi="Times New Roman" w:eastAsia="方正仿宋_GBK" w:cs="Times New Roman"/>
          <w:spacing w:val="8"/>
          <w:sz w:val="24"/>
          <w:szCs w:val="24"/>
          <w:lang w:val="en-US" w:eastAsia="zh-CN"/>
        </w:rPr>
        <w:t>财物损失的保障额度限额为每次事故10万元；</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rPr>
      </w:pPr>
      <w:r>
        <w:rPr>
          <w:rFonts w:hint="default" w:ascii="Times New Roman" w:hAnsi="Times New Roman" w:eastAsia="方正仿宋_GBK" w:cs="Times New Roman"/>
          <w:b w:val="0"/>
          <w:bCs w:val="0"/>
          <w:spacing w:val="8"/>
          <w:sz w:val="24"/>
          <w:szCs w:val="24"/>
          <w:lang w:val="en-US" w:eastAsia="zh-CN"/>
        </w:rPr>
        <w:t>4.7.</w:t>
      </w:r>
      <w:r>
        <w:rPr>
          <w:rFonts w:hint="default" w:ascii="Times New Roman" w:hAnsi="Times New Roman" w:eastAsia="方正仿宋_GBK" w:cs="Times New Roman"/>
          <w:b w:val="0"/>
          <w:bCs w:val="0"/>
          <w:color w:val="auto"/>
          <w:spacing w:val="8"/>
          <w:sz w:val="24"/>
          <w:szCs w:val="24"/>
          <w:lang w:val="en-US" w:eastAsia="zh-CN"/>
        </w:rPr>
        <w:t>4.</w:t>
      </w:r>
      <w:r>
        <w:rPr>
          <w:rFonts w:hint="default" w:ascii="Times New Roman" w:hAnsi="Times New Roman" w:eastAsia="方正仿宋_GBK" w:cs="Times New Roman"/>
          <w:spacing w:val="8"/>
          <w:sz w:val="24"/>
          <w:szCs w:val="24"/>
          <w:lang w:val="en-US" w:eastAsia="zh-CN"/>
        </w:rPr>
        <w:t>承担需要转送医疗机构（包括本地和外地医疗机构）的转运费（包括但不限于租车费、汽油费、过路费、转运人员劳务费、差旅费、住宿费等），转运费最高赔偿限额为每次事故每人5万元。</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b w:val="0"/>
          <w:bCs w:val="0"/>
          <w:color w:val="auto"/>
          <w:spacing w:val="8"/>
          <w:sz w:val="24"/>
          <w:szCs w:val="24"/>
          <w:lang w:val="en-US" w:eastAsia="zh-CN"/>
        </w:rPr>
      </w:pPr>
      <w:r>
        <w:rPr>
          <w:rFonts w:hint="eastAsia" w:ascii="Times New Roman" w:hAnsi="Times New Roman" w:eastAsia="方正仿宋_GBK" w:cs="Times New Roman"/>
          <w:spacing w:val="8"/>
          <w:sz w:val="24"/>
          <w:szCs w:val="24"/>
          <w:lang w:val="en-US" w:eastAsia="zh-CN"/>
        </w:rPr>
        <w:t>4.7.5 具体的内容见附件保险条款。</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jc w:val="left"/>
        <w:textAlignment w:val="auto"/>
        <w:rPr>
          <w:rFonts w:hint="default" w:ascii="Times New Roman" w:hAnsi="Times New Roman" w:eastAsia="方正仿宋_GBK" w:cs="Times New Roman"/>
          <w:bCs w:val="0"/>
          <w:color w:val="auto"/>
          <w:spacing w:val="8"/>
          <w:sz w:val="24"/>
          <w:szCs w:val="24"/>
          <w:lang w:val="en-US" w:eastAsia="zh-CN"/>
        </w:rPr>
      </w:pPr>
      <w:r>
        <w:rPr>
          <w:rFonts w:hint="default" w:ascii="Times New Roman" w:hAnsi="Times New Roman" w:eastAsia="方正仿宋_GBK" w:cs="Times New Roman"/>
          <w:b w:val="0"/>
          <w:bCs w:val="0"/>
          <w:spacing w:val="8"/>
          <w:kern w:val="2"/>
          <w:sz w:val="24"/>
          <w:szCs w:val="24"/>
          <w:lang w:val="en-US" w:eastAsia="zh-CN" w:bidi="ar-SA"/>
        </w:rPr>
        <w:t xml:space="preserve">4.8服务要求   </w:t>
      </w:r>
      <w:r>
        <w:rPr>
          <w:rFonts w:hint="default" w:ascii="Times New Roman" w:hAnsi="Times New Roman" w:eastAsia="方正仿宋_GBK" w:cs="Times New Roman"/>
          <w:b w:val="0"/>
          <w:bCs w:val="0"/>
          <w:color w:val="auto"/>
          <w:spacing w:val="8"/>
          <w:sz w:val="24"/>
          <w:szCs w:val="24"/>
          <w:lang w:val="en-US" w:eastAsia="zh-CN"/>
        </w:rPr>
        <w:t xml:space="preserve"> </w:t>
      </w:r>
      <w:r>
        <w:rPr>
          <w:rFonts w:hint="default" w:ascii="Times New Roman" w:hAnsi="Times New Roman" w:eastAsia="方正仿宋_GBK" w:cs="Times New Roman"/>
          <w:bCs w:val="0"/>
          <w:color w:val="auto"/>
          <w:spacing w:val="8"/>
          <w:sz w:val="24"/>
          <w:szCs w:val="24"/>
          <w:lang w:val="en-US" w:eastAsia="zh-CN"/>
        </w:rPr>
        <w:t xml:space="preserve">                               </w:t>
      </w:r>
    </w:p>
    <w:p>
      <w:pPr>
        <w:keepNext w:val="0"/>
        <w:keepLines w:val="0"/>
        <w:pageBreakBefore w:val="0"/>
        <w:widowControl/>
        <w:numPr>
          <w:ilvl w:val="-1"/>
          <w:numId w:val="0"/>
        </w:numPr>
        <w:kinsoku/>
        <w:wordWrap/>
        <w:overflowPunct/>
        <w:topLinePunct w:val="0"/>
        <w:autoSpaceDE w:val="0"/>
        <w:autoSpaceDN w:val="0"/>
        <w:bidi w:val="0"/>
        <w:adjustRightInd/>
        <w:snapToGrid w:val="0"/>
        <w:spacing w:after="0" w:line="540" w:lineRule="exact"/>
        <w:ind w:firstLine="609" w:firstLineChars="238"/>
        <w:textAlignment w:val="auto"/>
        <w:rPr>
          <w:rFonts w:hint="default" w:ascii="Times New Roman" w:hAnsi="Times New Roman" w:eastAsia="方正仿宋_GBK" w:cs="Times New Roman"/>
          <w:spacing w:val="8"/>
          <w:sz w:val="24"/>
          <w:szCs w:val="24"/>
          <w:lang w:val="en-US" w:eastAsia="zh-CN"/>
        </w:rPr>
      </w:pPr>
      <w:r>
        <w:rPr>
          <w:rFonts w:hint="default" w:ascii="Times New Roman" w:hAnsi="Times New Roman" w:eastAsia="方正仿宋_GBK" w:cs="Times New Roman"/>
          <w:spacing w:val="8"/>
          <w:sz w:val="24"/>
          <w:szCs w:val="24"/>
          <w:lang w:val="en-US" w:eastAsia="zh-CN"/>
        </w:rPr>
        <w:t>4.8.1将景区责任保险和景区意外险进行有效结合，即承担景区责任险（含自然灾害保险）保险公司由</w:t>
      </w:r>
      <w:r>
        <w:rPr>
          <w:rFonts w:hint="eastAsia" w:ascii="Times New Roman" w:hAnsi="Times New Roman" w:eastAsia="方正仿宋_GBK" w:cs="Times New Roman"/>
          <w:spacing w:val="8"/>
          <w:sz w:val="24"/>
          <w:szCs w:val="24"/>
          <w:lang w:val="en-US" w:eastAsia="zh-CN"/>
        </w:rPr>
        <w:t>甲方</w:t>
      </w:r>
      <w:r>
        <w:rPr>
          <w:rFonts w:hint="default" w:ascii="Times New Roman" w:hAnsi="Times New Roman" w:eastAsia="方正仿宋_GBK" w:cs="Times New Roman"/>
          <w:spacing w:val="8"/>
          <w:sz w:val="24"/>
          <w:szCs w:val="24"/>
          <w:lang w:val="en-US" w:eastAsia="zh-CN"/>
        </w:rPr>
        <w:t>为其配置景区意外险销售资格。</w:t>
      </w:r>
      <w:r>
        <w:rPr>
          <w:rFonts w:hint="eastAsia" w:ascii="Times New Roman" w:hAnsi="Times New Roman" w:eastAsia="方正仿宋_GBK" w:cs="Times New Roman"/>
          <w:spacing w:val="8"/>
          <w:sz w:val="24"/>
          <w:szCs w:val="24"/>
          <w:lang w:val="en-US" w:eastAsia="zh-CN"/>
        </w:rPr>
        <w:t>甲方</w:t>
      </w:r>
      <w:r>
        <w:rPr>
          <w:rFonts w:hint="eastAsia" w:ascii="Times New Roman" w:hAnsi="Times New Roman" w:eastAsia="方正仿宋_GBK" w:cs="Times New Roman"/>
          <w:spacing w:val="8"/>
          <w:sz w:val="24"/>
          <w:szCs w:val="24"/>
          <w:lang w:eastAsia="zh-CN"/>
        </w:rPr>
        <w:t>承担的费用均由</w:t>
      </w:r>
      <w:r>
        <w:rPr>
          <w:rFonts w:hint="eastAsia" w:ascii="Times New Roman" w:hAnsi="Times New Roman" w:eastAsia="方正仿宋_GBK" w:cs="Times New Roman"/>
          <w:spacing w:val="8"/>
          <w:sz w:val="24"/>
          <w:szCs w:val="24"/>
          <w:lang w:val="en-US" w:eastAsia="zh-CN"/>
        </w:rPr>
        <w:t>乙方</w:t>
      </w:r>
      <w:r>
        <w:rPr>
          <w:rFonts w:hint="eastAsia" w:ascii="Times New Roman" w:hAnsi="Times New Roman" w:eastAsia="方正仿宋_GBK" w:cs="Times New Roman"/>
          <w:spacing w:val="8"/>
          <w:sz w:val="24"/>
          <w:szCs w:val="24"/>
          <w:lang w:eastAsia="zh-CN"/>
        </w:rPr>
        <w:t>承担，</w:t>
      </w:r>
      <w:r>
        <w:rPr>
          <w:rFonts w:hint="eastAsia" w:ascii="Times New Roman" w:hAnsi="Times New Roman" w:eastAsia="方正仿宋_GBK" w:cs="Times New Roman"/>
          <w:spacing w:val="8"/>
          <w:sz w:val="24"/>
          <w:szCs w:val="24"/>
          <w:lang w:val="en-US" w:eastAsia="zh-CN"/>
        </w:rPr>
        <w:t>甲方</w:t>
      </w:r>
      <w:r>
        <w:rPr>
          <w:rFonts w:hint="default" w:ascii="Times New Roman" w:hAnsi="Times New Roman" w:eastAsia="方正仿宋_GBK" w:cs="Times New Roman"/>
          <w:spacing w:val="8"/>
          <w:sz w:val="24"/>
          <w:szCs w:val="24"/>
          <w:lang w:val="en-US" w:eastAsia="zh-CN"/>
        </w:rPr>
        <w:t>不承担出险后</w:t>
      </w:r>
      <w:r>
        <w:rPr>
          <w:rFonts w:hint="eastAsia" w:ascii="Times New Roman" w:hAnsi="Times New Roman" w:eastAsia="方正仿宋_GBK" w:cs="Times New Roman"/>
          <w:spacing w:val="8"/>
          <w:sz w:val="24"/>
          <w:szCs w:val="24"/>
          <w:lang w:eastAsia="zh-CN"/>
        </w:rPr>
        <w:t>的</w:t>
      </w:r>
      <w:r>
        <w:rPr>
          <w:rFonts w:hint="default" w:ascii="Times New Roman" w:hAnsi="Times New Roman" w:eastAsia="方正仿宋_GBK" w:cs="Times New Roman"/>
          <w:spacing w:val="8"/>
          <w:sz w:val="24"/>
          <w:szCs w:val="24"/>
          <w:lang w:val="en-US" w:eastAsia="zh-CN"/>
        </w:rPr>
        <w:t>费用。</w:t>
      </w:r>
    </w:p>
    <w:p>
      <w:pPr>
        <w:keepNext w:val="0"/>
        <w:keepLines w:val="0"/>
        <w:pageBreakBefore w:val="0"/>
        <w:tabs>
          <w:tab w:val="left" w:pos="1521"/>
        </w:tabs>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5. 服务费用及支付方式</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5.1 本项目服务费用由以下组成：</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5.1.1        万元；</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5.1.2        万元；</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5.1.3        万元。</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sz w:val="24"/>
          <w:szCs w:val="24"/>
        </w:rPr>
      </w:pPr>
      <w:r>
        <w:rPr>
          <w:rFonts w:hint="default" w:ascii="Times New Roman" w:hAnsi="Times New Roman" w:eastAsia="方正仿宋_GBK" w:cs="Times New Roman"/>
          <w:spacing w:val="8"/>
          <w:sz w:val="24"/>
          <w:szCs w:val="24"/>
        </w:rPr>
        <w:t xml:space="preserve">5.2 服务费支付方式： </w:t>
      </w:r>
    </w:p>
    <w:p>
      <w:pPr>
        <w:keepNext w:val="0"/>
        <w:keepLines w:val="0"/>
        <w:tabs>
          <w:tab w:val="left" w:pos="1440"/>
        </w:tabs>
        <w:spacing w:line="5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2"/>
          <w:sz w:val="24"/>
          <w:szCs w:val="24"/>
          <w:lang w:val="en-US" w:eastAsia="zh-CN" w:bidi="ar-SA"/>
        </w:rPr>
        <w:t>保</w:t>
      </w:r>
      <w:r>
        <w:rPr>
          <w:rFonts w:hint="eastAsia" w:ascii="方正仿宋_GBK" w:hAnsi="方正仿宋_GBK" w:eastAsia="方正仿宋_GBK" w:cs="方正仿宋_GBK"/>
          <w:color w:val="auto"/>
          <w:kern w:val="2"/>
          <w:sz w:val="24"/>
          <w:szCs w:val="24"/>
          <w:lang w:val="en-US" w:eastAsia="zh-CN" w:bidi="ar-SA"/>
        </w:rPr>
        <w:t>险单生效</w:t>
      </w:r>
      <w:r>
        <w:rPr>
          <w:rFonts w:hint="eastAsia" w:ascii="方正仿宋_GBK" w:hAnsi="方正仿宋_GBK" w:eastAsia="方正仿宋_GBK" w:cs="方正仿宋_GBK"/>
          <w:kern w:val="2"/>
          <w:sz w:val="24"/>
          <w:szCs w:val="24"/>
          <w:lang w:val="en-US" w:eastAsia="zh-CN" w:bidi="ar-SA"/>
        </w:rPr>
        <w:t>后     日采取【一次性】/【分期支付】方式</w:t>
      </w:r>
      <w:r>
        <w:rPr>
          <w:rFonts w:hint="eastAsia" w:ascii="方正仿宋_GBK" w:hAnsi="方正仿宋_GBK" w:eastAsia="方正仿宋_GBK" w:cs="方正仿宋_GBK"/>
          <w:color w:val="auto"/>
          <w:kern w:val="2"/>
          <w:sz w:val="24"/>
          <w:szCs w:val="24"/>
          <w:lang w:val="en-US" w:eastAsia="zh-CN" w:bidi="ar-SA"/>
        </w:rPr>
        <w:t>转账支付</w:t>
      </w:r>
      <w:r>
        <w:rPr>
          <w:rFonts w:hint="eastAsia" w:ascii="方正仿宋_GBK" w:hAnsi="方正仿宋_GBK" w:eastAsia="方正仿宋_GBK" w:cs="方正仿宋_GBK"/>
          <w:kern w:val="2"/>
          <w:sz w:val="24"/>
          <w:szCs w:val="24"/>
          <w:lang w:val="en-US" w:eastAsia="zh-CN" w:bidi="ar-SA"/>
        </w:rPr>
        <w:t>，转账前乙方需提供符合甲方财务要求的票据，否则甲方有权不予付款且无需承担违约责任</w:t>
      </w:r>
      <w:r>
        <w:rPr>
          <w:rFonts w:hint="eastAsia" w:ascii="方正仿宋_GBK" w:hAnsi="方正仿宋_GBK" w:eastAsia="方正仿宋_GBK" w:cs="方正仿宋_GBK"/>
          <w:color w:val="auto"/>
          <w:kern w:val="2"/>
          <w:sz w:val="24"/>
          <w:szCs w:val="24"/>
          <w:lang w:val="en-US" w:eastAsia="zh-CN" w:bidi="ar-SA"/>
        </w:rPr>
        <w:t>。</w:t>
      </w:r>
    </w:p>
    <w:p>
      <w:pPr>
        <w:keepNext w:val="0"/>
        <w:keepLines w:val="0"/>
        <w:pageBreakBefore w:val="0"/>
        <w:kinsoku/>
        <w:wordWrap/>
        <w:overflowPunct/>
        <w:topLinePunct w:val="0"/>
        <w:bidi w:val="0"/>
        <w:adjustRightInd/>
        <w:spacing w:line="540" w:lineRule="exact"/>
        <w:textAlignment w:val="auto"/>
        <w:rPr>
          <w:rFonts w:ascii="仿宋" w:hAnsi="仿宋" w:eastAsia="仿宋"/>
          <w:b/>
          <w:sz w:val="24"/>
          <w:szCs w:val="24"/>
        </w:rPr>
      </w:pPr>
      <w:r>
        <w:rPr>
          <w:rFonts w:hint="eastAsia" w:ascii="仿宋" w:hAnsi="仿宋" w:eastAsia="仿宋"/>
          <w:b/>
          <w:sz w:val="24"/>
          <w:szCs w:val="24"/>
        </w:rPr>
        <w:t>6. 知识产权</w:t>
      </w:r>
    </w:p>
    <w:p>
      <w:pPr>
        <w:keepNext w:val="0"/>
        <w:keepLines w:val="0"/>
        <w:pageBreakBefore w:val="0"/>
        <w:tabs>
          <w:tab w:val="left" w:pos="1440"/>
        </w:tabs>
        <w:kinsoku/>
        <w:wordWrap/>
        <w:overflowPunct/>
        <w:topLinePunct w:val="0"/>
        <w:bidi w:val="0"/>
        <w:adjustRightInd/>
        <w:spacing w:line="540" w:lineRule="exact"/>
        <w:ind w:firstLine="480" w:firstLineChars="200"/>
        <w:textAlignment w:val="auto"/>
        <w:rPr>
          <w:rFonts w:ascii="仿宋" w:hAnsi="仿宋" w:eastAsia="仿宋"/>
          <w:sz w:val="24"/>
          <w:szCs w:val="24"/>
        </w:rPr>
      </w:pPr>
      <w:r>
        <w:rPr>
          <w:rFonts w:hint="eastAsia" w:ascii="方正仿宋_GBK" w:hAnsi="方正仿宋_GBK" w:eastAsia="方正仿宋_GBK" w:cs="方正仿宋_GBK"/>
          <w:sz w:val="24"/>
          <w:szCs w:val="24"/>
        </w:rPr>
        <w:t>乙方应保证所提供的服务或其任何一部分均不会侵犯任何第三方的专利权、商标权或著作权。</w:t>
      </w:r>
    </w:p>
    <w:p>
      <w:pPr>
        <w:keepNext w:val="0"/>
        <w:keepLines w:val="0"/>
        <w:pageBreakBefore w:val="0"/>
        <w:kinsoku/>
        <w:wordWrap/>
        <w:overflowPunct/>
        <w:topLinePunct w:val="0"/>
        <w:bidi w:val="0"/>
        <w:adjustRightInd/>
        <w:spacing w:line="540" w:lineRule="exact"/>
        <w:textAlignment w:val="auto"/>
        <w:rPr>
          <w:rFonts w:ascii="仿宋" w:hAnsi="仿宋" w:eastAsia="仿宋"/>
          <w:b/>
          <w:sz w:val="24"/>
          <w:szCs w:val="24"/>
        </w:rPr>
      </w:pPr>
      <w:r>
        <w:rPr>
          <w:rFonts w:hint="eastAsia" w:ascii="仿宋" w:hAnsi="仿宋" w:eastAsia="仿宋"/>
          <w:b/>
          <w:sz w:val="24"/>
          <w:szCs w:val="24"/>
        </w:rPr>
        <w:t>7. 无产权瑕疵条款</w:t>
      </w:r>
    </w:p>
    <w:p>
      <w:pPr>
        <w:keepNext w:val="0"/>
        <w:keepLines w:val="0"/>
        <w:pageBreakBefore w:val="0"/>
        <w:tabs>
          <w:tab w:val="left" w:pos="1440"/>
        </w:tabs>
        <w:kinsoku/>
        <w:wordWrap/>
        <w:overflowPunct/>
        <w:topLinePunct w:val="0"/>
        <w:bidi w:val="0"/>
        <w:adjustRightInd/>
        <w:spacing w:line="54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乙方保证所提供的服务的所有权完全属于乙方且无任何抵押、查封等产权瑕疵。如有产权瑕疵的，视为乙方违约。乙方应负担由此而产生的一切损失。</w:t>
      </w:r>
    </w:p>
    <w:p>
      <w:pPr>
        <w:keepNext w:val="0"/>
        <w:keepLines w:val="0"/>
        <w:pageBreakBefore w:val="0"/>
        <w:kinsoku/>
        <w:wordWrap/>
        <w:overflowPunct/>
        <w:topLinePunct w:val="0"/>
        <w:bidi w:val="0"/>
        <w:adjustRightInd/>
        <w:spacing w:line="540" w:lineRule="exact"/>
        <w:textAlignment w:val="auto"/>
        <w:rPr>
          <w:rFonts w:ascii="仿宋" w:hAnsi="仿宋" w:eastAsia="仿宋"/>
          <w:b/>
          <w:sz w:val="24"/>
          <w:szCs w:val="24"/>
        </w:rPr>
      </w:pPr>
      <w:r>
        <w:rPr>
          <w:rFonts w:hint="eastAsia" w:ascii="仿宋" w:hAnsi="仿宋" w:eastAsia="仿宋"/>
          <w:b/>
          <w:sz w:val="24"/>
          <w:szCs w:val="24"/>
        </w:rPr>
        <w:t>8. 履约保证金</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8.1 乙方交纳人民币</w:t>
      </w:r>
      <w:r>
        <w:rPr>
          <w:rFonts w:hint="default" w:ascii="Times New Roman" w:hAnsi="Times New Roman" w:eastAsia="方正仿宋_GBK" w:cs="Times New Roman"/>
          <w:spacing w:val="8"/>
          <w:sz w:val="24"/>
          <w:szCs w:val="24"/>
          <w:u w:val="single"/>
        </w:rPr>
        <w:t>　　　　　　</w:t>
      </w:r>
      <w:r>
        <w:rPr>
          <w:rFonts w:hint="default" w:ascii="Times New Roman" w:hAnsi="Times New Roman" w:eastAsia="方正仿宋_GBK" w:cs="Times New Roman"/>
          <w:spacing w:val="8"/>
          <w:sz w:val="24"/>
          <w:szCs w:val="24"/>
        </w:rPr>
        <w:t>元作为本合同的履约保证金。</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8.2 履约保证金作为违约金的一部分及用于补偿甲方因乙方不能履行合同义务而蒙受的损失。</w:t>
      </w:r>
    </w:p>
    <w:p>
      <w:pPr>
        <w:keepNext w:val="0"/>
        <w:keepLines w:val="0"/>
        <w:pageBreakBefore w:val="0"/>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9. 甲方的权利和义务</w:t>
      </w:r>
    </w:p>
    <w:p>
      <w:pPr>
        <w:autoSpaceDE w:val="0"/>
        <w:autoSpaceDN w:val="0"/>
        <w:snapToGrid w:val="0"/>
        <w:spacing w:line="540" w:lineRule="exact"/>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rPr>
        <w:t>9.1</w:t>
      </w:r>
      <w:r>
        <w:rPr>
          <w:rFonts w:hint="default" w:ascii="Times New Roman" w:hAnsi="Times New Roman" w:eastAsia="方正仿宋_GBK" w:cs="Times New Roman"/>
          <w:spacing w:val="8"/>
          <w:sz w:val="24"/>
          <w:szCs w:val="24"/>
          <w:lang w:bidi="ar-SA"/>
        </w:rPr>
        <w:t>甲方的权利</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9.1.1有</w:t>
      </w:r>
      <w:r>
        <w:rPr>
          <w:rFonts w:hint="default" w:ascii="Times New Roman" w:hAnsi="Times New Roman" w:eastAsia="方正仿宋_GBK" w:cs="Times New Roman"/>
          <w:spacing w:val="8"/>
          <w:sz w:val="24"/>
          <w:szCs w:val="24"/>
          <w:lang w:bidi="ar-SA"/>
        </w:rPr>
        <w:t>权要求乙方提供保险条款、保险单证等相关资料，并要求乙方提供业务培训和指导。</w:t>
      </w:r>
    </w:p>
    <w:p>
      <w:pPr>
        <w:autoSpaceDE w:val="0"/>
        <w:autoSpaceDN w:val="0"/>
        <w:snapToGrid w:val="0"/>
        <w:spacing w:line="540" w:lineRule="exact"/>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9.2</w:t>
      </w:r>
      <w:r>
        <w:rPr>
          <w:rFonts w:hint="default" w:ascii="Times New Roman" w:hAnsi="Times New Roman" w:eastAsia="方正仿宋_GBK" w:cs="Times New Roman"/>
          <w:spacing w:val="8"/>
          <w:sz w:val="24"/>
          <w:szCs w:val="24"/>
          <w:lang w:bidi="ar-SA"/>
        </w:rPr>
        <w:t>甲方的义务</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9.2.</w:t>
      </w:r>
      <w:r>
        <w:rPr>
          <w:rFonts w:hint="default" w:ascii="Times New Roman" w:hAnsi="Times New Roman" w:eastAsia="方正仿宋_GBK" w:cs="Times New Roman"/>
          <w:spacing w:val="8"/>
          <w:sz w:val="24"/>
          <w:szCs w:val="24"/>
          <w:lang w:bidi="ar-SA"/>
        </w:rPr>
        <w:t>1、甲方应履行如实告知义务，告知义务有2项：（1）</w:t>
      </w:r>
      <w:r>
        <w:rPr>
          <w:rFonts w:hint="default" w:ascii="Times New Roman" w:hAnsi="Times New Roman" w:eastAsia="方正仿宋_GBK" w:cs="Times New Roman"/>
          <w:bCs w:val="0"/>
          <w:spacing w:val="8"/>
          <w:sz w:val="24"/>
          <w:szCs w:val="24"/>
          <w:lang w:bidi="ar-SA"/>
        </w:rPr>
        <w:t>因重大过失未履行如实告知义务，对保险事故的发生有严重影响的；（2）应及时提出不安全因素及隐患。</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9.2.</w:t>
      </w:r>
      <w:r>
        <w:rPr>
          <w:rFonts w:hint="default" w:ascii="Times New Roman" w:hAnsi="Times New Roman" w:eastAsia="方正仿宋_GBK" w:cs="Times New Roman"/>
          <w:spacing w:val="8"/>
          <w:sz w:val="24"/>
          <w:szCs w:val="24"/>
          <w:lang w:bidi="ar-SA"/>
        </w:rPr>
        <w:t>2、甲方应履行保证义务，保证义务有2项：（1）应遵守有关的法律法规，自觉接受管理部门和乙方的监督检查,对所发现的安全问题应及时整改。甲方应做好风景名胜区内的安全保护工作，安全保护设施应符合国家有关标准。在危险地段或区域应设置警示性标志，对旅游者给予充分提醒、劝戒、警告，加强管理，采取合理的预防措施，尽力避免或减少责任事故的发生。（2）按照双方约定的时限与方式，及时足额向乙方划转保险费。</w:t>
      </w:r>
    </w:p>
    <w:p>
      <w:pPr>
        <w:autoSpaceDE w:val="0"/>
        <w:autoSpaceDN w:val="0"/>
        <w:snapToGrid w:val="0"/>
        <w:spacing w:line="540" w:lineRule="exact"/>
        <w:ind w:firstLine="0" w:firstLineChars="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w:t>
      </w:r>
      <w:r>
        <w:rPr>
          <w:rFonts w:hint="default" w:ascii="Times New Roman" w:hAnsi="Times New Roman" w:eastAsia="方正仿宋_GBK" w:cs="Times New Roman"/>
          <w:spacing w:val="8"/>
          <w:sz w:val="24"/>
          <w:szCs w:val="24"/>
          <w:lang w:bidi="ar-SA"/>
        </w:rPr>
        <w:t xml:space="preserve"> 乙方的权利和义务</w:t>
      </w:r>
    </w:p>
    <w:p>
      <w:pPr>
        <w:autoSpaceDE w:val="0"/>
        <w:autoSpaceDN w:val="0"/>
        <w:snapToGrid w:val="0"/>
        <w:spacing w:line="540" w:lineRule="exact"/>
        <w:ind w:firstLine="0" w:firstLineChars="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10.1</w:t>
      </w:r>
      <w:r>
        <w:rPr>
          <w:rFonts w:hint="default" w:ascii="Times New Roman" w:hAnsi="Times New Roman" w:eastAsia="方正仿宋_GBK" w:cs="Times New Roman"/>
          <w:spacing w:val="8"/>
          <w:sz w:val="24"/>
          <w:szCs w:val="24"/>
          <w:lang w:bidi="ar-SA"/>
        </w:rPr>
        <w:t>乙方权利</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10.1.1</w:t>
      </w:r>
      <w:r>
        <w:rPr>
          <w:rFonts w:hint="default" w:ascii="Times New Roman" w:hAnsi="Times New Roman" w:eastAsia="方正仿宋_GBK" w:cs="Times New Roman"/>
          <w:spacing w:val="8"/>
          <w:sz w:val="24"/>
          <w:szCs w:val="24"/>
          <w:lang w:bidi="ar-SA"/>
        </w:rPr>
        <w:t>乙方有权对风景名胜区内未设警示性标志的危险路段或区域向甲方进行提醒、监督和检查。</w:t>
      </w:r>
    </w:p>
    <w:p>
      <w:pPr>
        <w:autoSpaceDE w:val="0"/>
        <w:autoSpaceDN w:val="0"/>
        <w:snapToGrid w:val="0"/>
        <w:spacing w:line="540" w:lineRule="exact"/>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10.2</w:t>
      </w:r>
      <w:r>
        <w:rPr>
          <w:rFonts w:hint="default" w:ascii="Times New Roman" w:hAnsi="Times New Roman" w:eastAsia="方正仿宋_GBK" w:cs="Times New Roman"/>
          <w:spacing w:val="8"/>
          <w:sz w:val="24"/>
          <w:szCs w:val="24"/>
          <w:lang w:bidi="ar-SA"/>
        </w:rPr>
        <w:t>乙方的义务</w:t>
      </w:r>
    </w:p>
    <w:p>
      <w:pPr>
        <w:autoSpaceDE w:val="0"/>
        <w:autoSpaceDN w:val="0"/>
        <w:snapToGrid w:val="0"/>
        <w:spacing w:line="540" w:lineRule="exact"/>
        <w:ind w:firstLine="512" w:firstLineChars="200"/>
        <w:rPr>
          <w:rFonts w:hint="default" w:ascii="Times New Roman" w:hAnsi="Times New Roman" w:eastAsia="方正仿宋_GBK" w:cs="Times New Roman"/>
          <w:color w:val="auto"/>
          <w:spacing w:val="8"/>
          <w:sz w:val="24"/>
          <w:szCs w:val="24"/>
          <w:lang w:bidi="ar-SA"/>
        </w:rPr>
      </w:pPr>
      <w:r>
        <w:rPr>
          <w:rFonts w:hint="default" w:ascii="Times New Roman" w:hAnsi="Times New Roman" w:eastAsia="方正仿宋_GBK" w:cs="Times New Roman"/>
          <w:spacing w:val="8"/>
          <w:sz w:val="24"/>
          <w:szCs w:val="24"/>
          <w:lang w:val="en-US" w:eastAsia="zh-CN" w:bidi="ar-SA"/>
        </w:rPr>
        <w:t>10.2.</w:t>
      </w:r>
      <w:r>
        <w:rPr>
          <w:rFonts w:hint="default" w:ascii="Times New Roman" w:hAnsi="Times New Roman" w:eastAsia="方正仿宋_GBK" w:cs="Times New Roman"/>
          <w:spacing w:val="8"/>
          <w:sz w:val="24"/>
          <w:szCs w:val="24"/>
          <w:lang w:bidi="ar-SA"/>
        </w:rPr>
        <w:t>1、负责为甲方提供经保险监管部门批准、备案的责任险保险产品及保险单证。</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w:t>
      </w:r>
      <w:r>
        <w:rPr>
          <w:rFonts w:hint="default" w:ascii="Times New Roman" w:hAnsi="Times New Roman" w:eastAsia="方正仿宋_GBK" w:cs="Times New Roman"/>
          <w:spacing w:val="8"/>
          <w:sz w:val="24"/>
          <w:szCs w:val="24"/>
          <w:lang w:bidi="ar-SA"/>
        </w:rPr>
        <w:t>2</w:t>
      </w:r>
      <w:r>
        <w:rPr>
          <w:rFonts w:hint="default" w:ascii="Times New Roman" w:hAnsi="Times New Roman" w:eastAsia="方正仿宋_GBK" w:cs="Times New Roman"/>
          <w:spacing w:val="8"/>
          <w:sz w:val="24"/>
          <w:szCs w:val="24"/>
          <w:lang w:val="en-US" w:eastAsia="zh-CN" w:bidi="ar-SA"/>
        </w:rPr>
        <w:t>.2</w:t>
      </w:r>
      <w:r>
        <w:rPr>
          <w:rFonts w:hint="default" w:ascii="Times New Roman" w:hAnsi="Times New Roman" w:eastAsia="方正仿宋_GBK" w:cs="Times New Roman"/>
          <w:spacing w:val="8"/>
          <w:sz w:val="24"/>
          <w:szCs w:val="24"/>
          <w:lang w:bidi="ar-SA"/>
        </w:rPr>
        <w:t>、乙方负责九寨沟景区责任险承保和理赔工作。</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10.2.</w:t>
      </w:r>
      <w:r>
        <w:rPr>
          <w:rFonts w:hint="default" w:ascii="Times New Roman" w:hAnsi="Times New Roman" w:eastAsia="方正仿宋_GBK" w:cs="Times New Roman"/>
          <w:spacing w:val="8"/>
          <w:sz w:val="24"/>
          <w:szCs w:val="24"/>
          <w:lang w:bidi="ar-SA"/>
        </w:rPr>
        <w:t>3、乙方应认真开展承保和理赔服务工作，在相关承保和理赔手续完备的情况下，在规定的承保和理赔期限内及时开展承保和理赔服务。乙方应严格执行保险合同的相关规定认真履职尽责，不惜赔、不拖赔、不滥赔。</w:t>
      </w:r>
    </w:p>
    <w:p>
      <w:pPr>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bidi="ar-SA"/>
        </w:rPr>
        <w:t>10.2.</w:t>
      </w:r>
      <w:r>
        <w:rPr>
          <w:rFonts w:hint="default" w:ascii="Times New Roman" w:hAnsi="Times New Roman" w:eastAsia="方正仿宋_GBK" w:cs="Times New Roman"/>
          <w:spacing w:val="8"/>
          <w:sz w:val="24"/>
          <w:szCs w:val="24"/>
          <w:lang w:bidi="ar-SA"/>
        </w:rPr>
        <w:t>4、乙方应每年度向甲方如实报告九寨沟景区责任保险的理赔情况，及时反映九寨沟景区责任险工作中存在的困难和问题，及时共同研究解决。</w:t>
      </w:r>
    </w:p>
    <w:p>
      <w:pPr>
        <w:keepNext w:val="0"/>
        <w:keepLines w:val="0"/>
        <w:autoSpaceDE w:val="0"/>
        <w:autoSpaceDN w:val="0"/>
        <w:snapToGrid w:val="0"/>
        <w:spacing w:line="540" w:lineRule="exact"/>
        <w:ind w:firstLine="512" w:firstLineChars="200"/>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lang w:val="en-US" w:eastAsia="zh-CN" w:bidi="ar-SA"/>
        </w:rPr>
        <w:t>10.2.</w:t>
      </w:r>
      <w:r>
        <w:rPr>
          <w:rFonts w:hint="default" w:ascii="Times New Roman" w:hAnsi="Times New Roman" w:eastAsia="方正仿宋_GBK" w:cs="Times New Roman"/>
          <w:spacing w:val="8"/>
          <w:sz w:val="24"/>
          <w:szCs w:val="24"/>
          <w:lang w:bidi="ar-SA"/>
        </w:rPr>
        <w:t>5、</w:t>
      </w:r>
      <w:r>
        <w:rPr>
          <w:rFonts w:hint="default" w:ascii="Times New Roman" w:hAnsi="Times New Roman" w:eastAsia="方正仿宋_GBK" w:cs="Times New Roman"/>
          <w:spacing w:val="8"/>
          <w:sz w:val="24"/>
          <w:szCs w:val="24"/>
        </w:rPr>
        <w:t>乙方承诺，在甲方通知（包含电话、传真、微信、电子邮件等）到达乙方后2个小时内，乙方需派至少2名保险人员前往甲方办公地点，处理景区责任险的赔付事宜。</w:t>
      </w:r>
    </w:p>
    <w:p>
      <w:pPr>
        <w:autoSpaceDE w:val="0"/>
        <w:autoSpaceDN w:val="0"/>
        <w:snapToGrid w:val="0"/>
        <w:spacing w:line="540" w:lineRule="exact"/>
        <w:ind w:firstLine="512" w:firstLineChars="200"/>
        <w:rPr>
          <w:rFonts w:hint="default" w:eastAsia="方正仿宋_GBK"/>
          <w:sz w:val="24"/>
          <w:szCs w:val="24"/>
          <w:lang w:val="en-US" w:eastAsia="zh-CN"/>
        </w:rPr>
      </w:pPr>
      <w:r>
        <w:rPr>
          <w:rFonts w:hint="default" w:ascii="Times New Roman" w:hAnsi="Times New Roman" w:eastAsia="方正仿宋_GBK" w:cs="Times New Roman"/>
          <w:spacing w:val="8"/>
          <w:sz w:val="24"/>
          <w:szCs w:val="24"/>
          <w:lang w:val="en-US" w:eastAsia="zh-CN"/>
        </w:rPr>
        <w:t>10.2.6</w:t>
      </w:r>
      <w:r>
        <w:rPr>
          <w:rFonts w:hint="default" w:ascii="Times New Roman" w:hAnsi="Times New Roman" w:eastAsia="方正仿宋_GBK" w:cs="Times New Roman"/>
          <w:spacing w:val="8"/>
          <w:sz w:val="24"/>
          <w:szCs w:val="24"/>
          <w:lang w:bidi="ar-SA"/>
        </w:rPr>
        <w:t xml:space="preserve"> 乙方应保守与本合作有关的商业秘密，</w:t>
      </w:r>
      <w:r>
        <w:rPr>
          <w:rFonts w:hint="default" w:ascii="Times New Roman" w:hAnsi="Times New Roman" w:eastAsia="方正仿宋_GBK" w:cs="Times New Roman"/>
          <w:spacing w:val="8"/>
          <w:sz w:val="24"/>
          <w:szCs w:val="24"/>
          <w:lang w:val="en-US" w:eastAsia="zh-CN" w:bidi="ar-SA"/>
        </w:rPr>
        <w:t>乙</w:t>
      </w:r>
      <w:r>
        <w:rPr>
          <w:rFonts w:hint="default" w:ascii="Times New Roman" w:hAnsi="Times New Roman" w:eastAsia="方正仿宋_GBK" w:cs="Times New Roman"/>
          <w:spacing w:val="8"/>
          <w:sz w:val="24"/>
          <w:szCs w:val="24"/>
          <w:lang w:bidi="ar-SA"/>
        </w:rPr>
        <w:t>方工作人员及相关人员自觉维护合作方利益,拥有保密义务。</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p>
    <w:p>
      <w:pPr>
        <w:keepNext w:val="0"/>
        <w:keepLines w:val="0"/>
        <w:pageBreakBefore w:val="0"/>
        <w:tabs>
          <w:tab w:val="left" w:pos="1521"/>
        </w:tabs>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11. 违约责任</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11.1 甲乙双方必须遵守本合同并执行合同中的各项规定，保证本合同的正常履行。</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2"/>
        <w:ind w:left="0" w:firstLine="514" w:firstLineChars="200"/>
        <w:rPr>
          <w:rFonts w:hint="default"/>
          <w:sz w:val="24"/>
          <w:szCs w:val="24"/>
        </w:rPr>
      </w:pPr>
      <w:r>
        <w:rPr>
          <w:rFonts w:hint="default" w:ascii="Times New Roman" w:hAnsi="Times New Roman" w:eastAsia="方正仿宋_GBK" w:cs="Times New Roman"/>
          <w:spacing w:val="8"/>
          <w:sz w:val="24"/>
          <w:szCs w:val="24"/>
        </w:rPr>
        <w:t>11.3 如乙方违反第10</w:t>
      </w:r>
      <w:r>
        <w:rPr>
          <w:rFonts w:hint="eastAsia" w:ascii="Times New Roman" w:hAnsi="Times New Roman" w:eastAsia="方正仿宋_GBK" w:cs="Times New Roman"/>
          <w:spacing w:val="8"/>
          <w:sz w:val="24"/>
          <w:szCs w:val="24"/>
          <w:lang w:val="en-US" w:eastAsia="zh-CN"/>
        </w:rPr>
        <w:t>.2.</w:t>
      </w:r>
      <w:r>
        <w:rPr>
          <w:rFonts w:hint="default" w:ascii="Times New Roman" w:hAnsi="Times New Roman" w:eastAsia="方正仿宋_GBK" w:cs="Times New Roman"/>
          <w:spacing w:val="8"/>
          <w:sz w:val="24"/>
          <w:szCs w:val="24"/>
        </w:rPr>
        <w:t>5项约定，应向甲方支付违约金  %。给甲方造成损失扩大的，均由乙方全部承担。</w:t>
      </w:r>
    </w:p>
    <w:p>
      <w:pPr>
        <w:keepNext w:val="0"/>
        <w:keepLines w:val="0"/>
        <w:pageBreakBefore w:val="0"/>
        <w:tabs>
          <w:tab w:val="left" w:pos="1521"/>
        </w:tabs>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12. 不可抗力事件处理</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12.1 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12.2 不可抗力事件发生后，应立即通知对方，并寄送有关权威机构出具的证明。</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12.3 不可抗力事件延续120天以上，双方应通过友好协商，确定是否继续履行合同。</w:t>
      </w:r>
    </w:p>
    <w:p>
      <w:pPr>
        <w:keepNext w:val="0"/>
        <w:keepLines w:val="0"/>
        <w:pageBreakBefore w:val="0"/>
        <w:tabs>
          <w:tab w:val="left" w:pos="1521"/>
        </w:tabs>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13. 解决合同纠纷的方式</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eastAsia" w:ascii="Times New Roman" w:hAnsi="Times New Roman" w:eastAsia="方正仿宋_GBK" w:cs="Times New Roman"/>
          <w:spacing w:val="8"/>
          <w:sz w:val="24"/>
          <w:szCs w:val="24"/>
          <w:lang w:val="en-US" w:eastAsia="zh-CN"/>
        </w:rPr>
        <w:t>13.1</w:t>
      </w:r>
      <w:r>
        <w:rPr>
          <w:rFonts w:hint="default" w:ascii="Times New Roman" w:hAnsi="Times New Roman" w:eastAsia="方正仿宋_GBK" w:cs="Times New Roman"/>
          <w:spacing w:val="8"/>
          <w:sz w:val="24"/>
          <w:szCs w:val="24"/>
        </w:rPr>
        <w:t>在执行本合同中发生的或与本合同有关的争端，双方应通过友好协商解决，经协商在60天内不能达成协议时，均可向甲方住所地人民法院提起诉讼。</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val="en-US" w:eastAsia="zh-CN"/>
        </w:rPr>
        <w:t>13.2</w:t>
      </w:r>
      <w:r>
        <w:rPr>
          <w:rFonts w:hint="default" w:ascii="Times New Roman" w:hAnsi="Times New Roman" w:eastAsia="方正仿宋_GBK" w:cs="Times New Roman"/>
          <w:b w:val="0"/>
          <w:spacing w:val="8"/>
          <w:sz w:val="24"/>
          <w:szCs w:val="24"/>
          <w:lang w:bidi="ar-SA"/>
        </w:rPr>
        <w:t xml:space="preserve"> </w:t>
      </w:r>
      <w:r>
        <w:rPr>
          <w:rFonts w:hint="default" w:ascii="Times New Roman" w:hAnsi="Times New Roman" w:eastAsia="方正仿宋_GBK" w:cs="Times New Roman"/>
          <w:spacing w:val="8"/>
          <w:sz w:val="24"/>
          <w:szCs w:val="24"/>
          <w:lang w:bidi="ar-SA"/>
        </w:rPr>
        <w:t>协议变更和解除</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bidi="ar-SA"/>
        </w:rPr>
      </w:pPr>
      <w:r>
        <w:rPr>
          <w:rFonts w:hint="eastAsia" w:ascii="Times New Roman" w:hAnsi="Times New Roman" w:eastAsia="方正仿宋_GBK" w:cs="Times New Roman"/>
          <w:spacing w:val="8"/>
          <w:sz w:val="24"/>
          <w:szCs w:val="24"/>
          <w:lang w:val="en-US" w:eastAsia="zh-CN" w:bidi="ar-SA"/>
        </w:rPr>
        <w:t>13.2.1</w:t>
      </w:r>
      <w:r>
        <w:rPr>
          <w:rFonts w:hint="default" w:ascii="Times New Roman" w:hAnsi="Times New Roman" w:eastAsia="方正仿宋_GBK" w:cs="Times New Roman"/>
          <w:spacing w:val="8"/>
          <w:sz w:val="24"/>
          <w:szCs w:val="24"/>
          <w:lang w:bidi="ar-SA"/>
        </w:rPr>
        <w:t>如有下列情形之一的，任何一方有权提出终止本协议；</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bidi="ar-SA"/>
        </w:rPr>
        <w:t>1、违反本协议规定并造成严重后果的；</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bidi="ar-SA"/>
        </w:rPr>
        <w:t>2、违反保险监管的有关法规；</w:t>
      </w:r>
    </w:p>
    <w:p>
      <w:pPr>
        <w:autoSpaceDE w:val="0"/>
        <w:autoSpaceDN w:val="0"/>
        <w:snapToGrid w:val="0"/>
        <w:spacing w:line="540" w:lineRule="exact"/>
        <w:ind w:firstLine="609" w:firstLineChars="238"/>
        <w:rPr>
          <w:rFonts w:hint="default" w:ascii="Times New Roman" w:hAnsi="Times New Roman" w:eastAsia="方正仿宋_GBK" w:cs="Times New Roman"/>
          <w:spacing w:val="8"/>
          <w:sz w:val="24"/>
          <w:szCs w:val="24"/>
          <w:lang w:bidi="ar-SA"/>
        </w:rPr>
      </w:pPr>
      <w:r>
        <w:rPr>
          <w:rFonts w:hint="default" w:ascii="Times New Roman" w:hAnsi="Times New Roman" w:eastAsia="方正仿宋_GBK" w:cs="Times New Roman"/>
          <w:spacing w:val="8"/>
          <w:sz w:val="24"/>
          <w:szCs w:val="24"/>
          <w:lang w:bidi="ar-SA"/>
        </w:rPr>
        <w:t>3、严重损坏对方信誉的；</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lang w:bidi="ar-SA"/>
        </w:rPr>
        <w:t>4、法律、法规规定的其他应当终止的情形。</w:t>
      </w:r>
    </w:p>
    <w:p>
      <w:pPr>
        <w:keepNext w:val="0"/>
        <w:keepLines w:val="0"/>
        <w:pageBreakBefore w:val="0"/>
        <w:tabs>
          <w:tab w:val="left" w:pos="1521"/>
        </w:tabs>
        <w:kinsoku/>
        <w:wordWrap/>
        <w:overflowPunct/>
        <w:topLinePunct w:val="0"/>
        <w:autoSpaceDE w:val="0"/>
        <w:autoSpaceDN w:val="0"/>
        <w:bidi w:val="0"/>
        <w:adjustRightInd/>
        <w:snapToGrid w:val="0"/>
        <w:spacing w:line="540" w:lineRule="exact"/>
        <w:textAlignment w:val="auto"/>
        <w:rPr>
          <w:rFonts w:ascii="仿宋" w:hAnsi="仿宋" w:eastAsia="仿宋"/>
          <w:b/>
          <w:spacing w:val="8"/>
          <w:sz w:val="24"/>
          <w:szCs w:val="24"/>
        </w:rPr>
      </w:pPr>
      <w:r>
        <w:rPr>
          <w:rFonts w:hint="eastAsia" w:ascii="仿宋" w:hAnsi="仿宋" w:eastAsia="仿宋"/>
          <w:b/>
          <w:spacing w:val="8"/>
          <w:sz w:val="24"/>
          <w:szCs w:val="24"/>
        </w:rPr>
        <w:t>14. 合同生效及其他</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14.1 合同经双方法定代表人/单位负责人或授权委托代理人签字并加盖单位公章后生效。</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14.2 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kinsoku/>
        <w:wordWrap/>
        <w:overflowPunct/>
        <w:topLinePunct w:val="0"/>
        <w:autoSpaceDE w:val="0"/>
        <w:autoSpaceDN w:val="0"/>
        <w:bidi w:val="0"/>
        <w:adjustRightInd/>
        <w:snapToGrid w:val="0"/>
        <w:spacing w:line="540" w:lineRule="exact"/>
        <w:ind w:firstLine="609" w:firstLineChars="238"/>
        <w:textAlignment w:val="auto"/>
        <w:rPr>
          <w:rFonts w:hint="default" w:ascii="Times New Roman" w:hAnsi="Times New Roman" w:eastAsia="方正仿宋_GBK" w:cs="Times New Roman"/>
          <w:spacing w:val="8"/>
          <w:sz w:val="24"/>
          <w:szCs w:val="24"/>
        </w:rPr>
      </w:pPr>
      <w:r>
        <w:rPr>
          <w:rFonts w:hint="default" w:ascii="Times New Roman" w:hAnsi="Times New Roman" w:eastAsia="方正仿宋_GBK" w:cs="Times New Roman"/>
          <w:spacing w:val="8"/>
          <w:sz w:val="24"/>
          <w:szCs w:val="24"/>
        </w:rPr>
        <w:t>14.3 本合同一式  份，自双方签章之日起起效。甲方  份，乙方  份，政府采购代理机构  份，同级财政部门备案  份，具有同等法律效力。</w:t>
      </w:r>
    </w:p>
    <w:p>
      <w:pPr>
        <w:keepNext w:val="0"/>
        <w:keepLines w:val="0"/>
        <w:pageBreakBefore w:val="0"/>
        <w:widowControl w:val="0"/>
        <w:kinsoku/>
        <w:wordWrap/>
        <w:overflowPunct/>
        <w:topLinePunct w:val="0"/>
        <w:bidi w:val="0"/>
        <w:adjustRightInd/>
        <w:spacing w:line="540" w:lineRule="exact"/>
        <w:ind w:firstLine="480" w:firstLineChars="200"/>
        <w:jc w:val="center"/>
        <w:textAlignment w:val="auto"/>
        <w:rPr>
          <w:rFonts w:hint="default" w:ascii="Times New Roman" w:hAnsi="Times New Roman" w:eastAsia="方正仿宋_GBK" w:cs="Times New Roman"/>
          <w:kern w:val="2"/>
          <w:sz w:val="24"/>
          <w:szCs w:val="24"/>
          <w:lang w:val="en-US" w:eastAsia="zh-CN" w:bidi="ar-SA"/>
        </w:rPr>
      </w:pPr>
      <w:r>
        <w:rPr>
          <w:rFonts w:hint="eastAsia" w:ascii="Times New Roman" w:hAnsi="Times New Roman" w:eastAsia="方正仿宋_GBK" w:cs="Times New Roman"/>
          <w:kern w:val="2"/>
          <w:sz w:val="24"/>
          <w:szCs w:val="24"/>
          <w:lang w:val="en-US" w:eastAsia="zh-CN" w:bidi="ar-SA"/>
        </w:rPr>
        <w:t>（以下无正文）</w:t>
      </w:r>
    </w:p>
    <w:p>
      <w:pPr>
        <w:pStyle w:val="26"/>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65" w:name="_Toc349810624"/>
      <w:bookmarkEnd w:id="65"/>
      <w:bookmarkStart w:id="66" w:name="_Toc350864527"/>
      <w:bookmarkEnd w:id="66"/>
    </w:p>
    <w:p>
      <w:pPr>
        <w:pStyle w:val="4"/>
        <w:keepNext w:val="0"/>
        <w:keepLines w:val="0"/>
        <w:spacing w:before="0" w:after="0" w:line="400" w:lineRule="exact"/>
        <w:jc w:val="center"/>
        <w:rPr>
          <w:rFonts w:ascii="仿宋" w:eastAsia="仿宋"/>
        </w:rPr>
      </w:pPr>
    </w:p>
    <w:p>
      <w:pPr>
        <w:spacing w:line="401" w:lineRule="auto"/>
        <w:jc w:val="center"/>
        <w:rPr>
          <w:rFonts w:ascii="Times New Roman" w:hAnsi="Times New Roman" w:eastAsia="仿宋" w:cs="Times New Roman"/>
        </w:rPr>
      </w:pPr>
      <w:r>
        <w:rPr>
          <w:rFonts w:ascii="Times New Roman" w:hAnsi="Times New Roman" w:eastAsia="仿宋" w:cs="Times New Roman"/>
        </w:rPr>
        <w:t xml:space="preserve"> </w:t>
      </w:r>
    </w:p>
    <w:p>
      <w:pPr>
        <w:spacing w:line="360" w:lineRule="auto"/>
        <w:outlineLvl w:val="0"/>
        <w:rPr>
          <w:rFonts w:ascii="Times New Roman" w:hAnsi="Times New Roman" w:eastAsia="仿宋" w:cs="Times New Roman"/>
          <w:b/>
          <w:sz w:val="32"/>
        </w:rPr>
      </w:pPr>
      <w:bookmarkStart w:id="67" w:name="_Toc7369"/>
      <w:bookmarkStart w:id="68" w:name="_Toc112053985"/>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67"/>
      <w:r>
        <w:rPr>
          <w:rFonts w:hint="eastAsia" w:ascii="Times New Roman" w:hAnsi="Times New Roman" w:eastAsia="仿宋" w:cs="Times New Roman"/>
          <w:b/>
          <w:sz w:val="32"/>
        </w:rPr>
        <w:t>1</w:t>
      </w:r>
      <w:bookmarkEnd w:id="68"/>
    </w:p>
    <w:p>
      <w:pPr>
        <w:jc w:val="center"/>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ascii="Times New Roman" w:hAnsi="Times New Roman" w:eastAsia="仿宋" w:cs="Times New Roman"/>
          <w:sz w:val="24"/>
        </w:rPr>
        <w:t>采购编号：</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9"/>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1.所有报价均用人民币表示,所报价格是交货地的验收价格，其总价即为履行合同的固定价格。运输、安装、调试、检验、培训、税金和保险等费用以及采购文件规定的其他费用均应包含在报价中。</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2.应完整填写产品的品牌和型号或项目内容。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ind w:firstLine="472"/>
        <w:jc w:val="left"/>
        <w:rPr>
          <w:rFonts w:ascii="Times New Roman" w:hAnsi="Times New Roman" w:eastAsia="仿宋" w:cs="Times New Roman"/>
          <w:b/>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分项报价明细表（服务类）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ascii="仿宋" w:eastAsia="仿宋"/>
          <w:sz w:val="24"/>
        </w:rPr>
        <w:t>采购编号：</w:t>
      </w:r>
    </w:p>
    <w:p>
      <w:pPr>
        <w:widowControl/>
        <w:spacing w:line="360" w:lineRule="atLeast"/>
        <w:jc w:val="left"/>
        <w:outlineLvl w:val="1"/>
        <w:rPr>
          <w:rFonts w:ascii="仿宋" w:eastAsia="仿宋"/>
          <w:sz w:val="24"/>
        </w:rPr>
      </w:pPr>
      <w:r>
        <w:rPr>
          <w:rFonts w:hint="eastAsia" w:ascii="仿宋" w:eastAsia="仿宋"/>
          <w:sz w:val="24"/>
        </w:rPr>
        <w:t>第XX包</w:t>
      </w:r>
    </w:p>
    <w:tbl>
      <w:tblPr>
        <w:tblStyle w:val="19"/>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12"/>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12"/>
              <w:spacing w:before="156" w:beforeLines="50" w:line="360" w:lineRule="auto"/>
              <w:jc w:val="center"/>
              <w:rPr>
                <w:rFonts w:ascii="仿宋" w:eastAsia="仿宋"/>
                <w:sz w:val="24"/>
              </w:rPr>
            </w:pPr>
            <w:r>
              <w:rPr>
                <w:rFonts w:hint="eastAsia" w:ascii="仿宋" w:eastAsia="仿宋"/>
                <w:sz w:val="24"/>
              </w:rPr>
              <w:t>单项价格（下浮比例）（%）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2"/>
              <w:spacing w:line="360" w:lineRule="auto"/>
              <w:jc w:val="center"/>
              <w:rPr>
                <w:rFonts w:ascii="仿宋" w:eastAsia="仿宋"/>
                <w:sz w:val="24"/>
              </w:rPr>
            </w:pPr>
            <w:r>
              <w:rPr>
                <w:rFonts w:ascii="仿宋" w:eastAsia="仿宋"/>
                <w:sz w:val="24"/>
              </w:rPr>
              <w:t>…</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2"/>
              <w:spacing w:line="360" w:lineRule="auto"/>
              <w:ind w:firstLine="361" w:firstLineChars="150"/>
              <w:rPr>
                <w:rFonts w:ascii="仿宋" w:eastAsia="仿宋"/>
                <w:b/>
                <w:sz w:val="24"/>
              </w:rPr>
            </w:pPr>
            <w:r>
              <w:rPr>
                <w:rFonts w:hint="eastAsia" w:ascii="仿宋" w:eastAsia="仿宋"/>
                <w:b/>
                <w:sz w:val="24"/>
              </w:rPr>
              <w:t>报价（下浮比例）（%）</w:t>
            </w:r>
          </w:p>
        </w:tc>
        <w:tc>
          <w:tcPr>
            <w:tcW w:w="3556" w:type="dxa"/>
            <w:vAlign w:val="center"/>
          </w:tcPr>
          <w:p>
            <w:pPr>
              <w:pStyle w:val="12"/>
              <w:spacing w:line="360" w:lineRule="auto"/>
              <w:jc w:val="center"/>
              <w:rPr>
                <w:rFonts w:ascii="仿宋" w:eastAsia="仿宋"/>
                <w:sz w:val="24"/>
              </w:rPr>
            </w:pPr>
          </w:p>
        </w:tc>
      </w:tr>
    </w:tbl>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7"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00E1384-39C1-4341-8FCE-F85BAE34438F}"/>
  </w:font>
  <w:font w:name="黑体">
    <w:panose1 w:val="02010609060101010101"/>
    <w:charset w:val="86"/>
    <w:family w:val="auto"/>
    <w:pitch w:val="default"/>
    <w:sig w:usb0="800002BF" w:usb1="38CF7CFA" w:usb2="00000016" w:usb3="00000000" w:csb0="00040001" w:csb1="00000000"/>
    <w:embedRegular r:id="rId2" w:fontKey="{86A5A12F-4EF5-44B4-BF63-649710CB1FF0}"/>
  </w:font>
  <w:font w:name="Courier New">
    <w:panose1 w:val="02070309020205020404"/>
    <w:charset w:val="01"/>
    <w:family w:val="modern"/>
    <w:pitch w:val="default"/>
    <w:sig w:usb0="E0002AFF" w:usb1="C0007843" w:usb2="00000009" w:usb3="00000000" w:csb0="400001FF" w:csb1="FFFF0000"/>
    <w:embedRegular r:id="rId3" w:fontKey="{CF6A45DF-CC55-466D-A95E-551C1D0900C6}"/>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99F3D055-969C-45A1-B9D3-DA1AFAD73B5F}"/>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5" w:fontKey="{95D8A019-F14C-45CF-B5AD-402CEFC68F99}"/>
  </w:font>
  <w:font w:name="方正黑体_GBK">
    <w:panose1 w:val="03000509000000000000"/>
    <w:charset w:val="86"/>
    <w:family w:val="auto"/>
    <w:pitch w:val="default"/>
    <w:sig w:usb0="00000001" w:usb1="080E0000" w:usb2="00000000" w:usb3="00000000" w:csb0="00040000" w:csb1="00000000"/>
    <w:embedRegular r:id="rId6" w:fontKey="{1D59D362-8C90-477E-B1DF-6A0EF817B9F3}"/>
  </w:font>
  <w:font w:name="仿宋">
    <w:panose1 w:val="02010609060101010101"/>
    <w:charset w:val="86"/>
    <w:family w:val="modern"/>
    <w:pitch w:val="default"/>
    <w:sig w:usb0="800002BF" w:usb1="38CF7CFA" w:usb2="00000016" w:usb3="00000000" w:csb0="00040001" w:csb1="00000000"/>
    <w:embedRegular r:id="rId7" w:fontKey="{B7695963-C55C-441A-9C3A-5F4975959253}"/>
  </w:font>
  <w:font w:name="MS Gothic">
    <w:panose1 w:val="020B0609070205080204"/>
    <w:charset w:val="80"/>
    <w:family w:val="modern"/>
    <w:pitch w:val="default"/>
    <w:sig w:usb0="E00002FF" w:usb1="6AC7FDFB" w:usb2="00000012" w:usb3="00000000" w:csb0="4002009F" w:csb1="DFD70000"/>
    <w:embedRegular r:id="rId8" w:fontKey="{D97395B0-F41C-494F-A24B-B37D48ED54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DYzZDkyOWNmN2MzZWI4MmQ0MzhhNGYwZTA2ZThmM2EifQ=="/>
  </w:docVars>
  <w:rsids>
    <w:rsidRoot w:val="00000000"/>
    <w:rsid w:val="030B2EE5"/>
    <w:rsid w:val="0D89049E"/>
    <w:rsid w:val="104B26C9"/>
    <w:rsid w:val="16550A76"/>
    <w:rsid w:val="1987458E"/>
    <w:rsid w:val="1AE63B43"/>
    <w:rsid w:val="27935ADB"/>
    <w:rsid w:val="28D6351E"/>
    <w:rsid w:val="3186764C"/>
    <w:rsid w:val="325375F9"/>
    <w:rsid w:val="35B5140A"/>
    <w:rsid w:val="38D37BEF"/>
    <w:rsid w:val="3A3454F9"/>
    <w:rsid w:val="4241367A"/>
    <w:rsid w:val="4E5C3C76"/>
    <w:rsid w:val="56787C61"/>
    <w:rsid w:val="59771207"/>
    <w:rsid w:val="59C603E9"/>
    <w:rsid w:val="6372183E"/>
    <w:rsid w:val="67430B7A"/>
    <w:rsid w:val="7B6A09A1"/>
    <w:rsid w:val="7F9741C8"/>
    <w:rsid w:val="F19FF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9"/>
    <w:pPr>
      <w:keepNext/>
      <w:keepLines/>
      <w:spacing w:before="260" w:after="260" w:line="415" w:lineRule="auto"/>
      <w:outlineLvl w:val="2"/>
    </w:pPr>
    <w:rPr>
      <w:b/>
      <w:bCs/>
      <w:sz w:val="32"/>
      <w:szCs w:val="32"/>
    </w:rPr>
  </w:style>
  <w:style w:type="character" w:default="1" w:styleId="20">
    <w:name w:val="Default Paragraph Font"/>
    <w:qFormat/>
    <w:uiPriority w:val="1"/>
  </w:style>
  <w:style w:type="table" w:default="1" w:styleId="19">
    <w:name w:val="Normal Table"/>
    <w:qFormat/>
    <w:uiPriority w:val="99"/>
    <w:tblPr>
      <w:tblCellMar>
        <w:top w:w="0" w:type="dxa"/>
        <w:left w:w="108" w:type="dxa"/>
        <w:bottom w:w="0" w:type="dxa"/>
        <w:right w:w="108" w:type="dxa"/>
      </w:tblCellMar>
    </w:tblPr>
  </w:style>
  <w:style w:type="paragraph" w:customStyle="1" w:styleId="2">
    <w:name w:val="样式3"/>
    <w:basedOn w:val="3"/>
    <w:qFormat/>
    <w:uiPriority w:val="0"/>
    <w:pPr>
      <w:tabs>
        <w:tab w:val="left" w:pos="6351"/>
      </w:tabs>
    </w:pPr>
    <w:rPr>
      <w:sz w:val="28"/>
      <w:szCs w:val="28"/>
    </w:rPr>
  </w:style>
  <w:style w:type="paragraph" w:customStyle="1" w:styleId="3">
    <w:name w:val="标题 2 + 左侧:  0.75 厘米 首行缩进:  0 厘米"/>
    <w:basedOn w:val="4"/>
    <w:next w:val="4"/>
    <w:qFormat/>
    <w:uiPriority w:val="0"/>
    <w:pPr>
      <w:tabs>
        <w:tab w:val="left" w:pos="6351"/>
      </w:tabs>
      <w:spacing w:before="100" w:beforeAutospacing="1" w:after="100" w:afterAutospacing="1" w:line="240" w:lineRule="auto"/>
      <w:ind w:left="425"/>
      <w:jc w:val="left"/>
    </w:pPr>
    <w:rPr>
      <w:rFonts w:ascii="Arial" w:hAnsi="Arial" w:cs="宋体"/>
      <w:sz w:val="30"/>
      <w:szCs w:val="20"/>
    </w:rPr>
  </w:style>
  <w:style w:type="paragraph" w:styleId="7">
    <w:name w:val="Normal Indent"/>
    <w:basedOn w:val="1"/>
    <w:qFormat/>
    <w:uiPriority w:val="0"/>
    <w:pPr>
      <w:ind w:firstLine="200" w:firstLineChars="200"/>
    </w:pPr>
  </w:style>
  <w:style w:type="paragraph" w:styleId="8">
    <w:name w:val="annotation text"/>
    <w:basedOn w:val="1"/>
    <w:qFormat/>
    <w:uiPriority w:val="0"/>
    <w:pPr>
      <w:jc w:val="left"/>
    </w:pPr>
  </w:style>
  <w:style w:type="paragraph" w:styleId="9">
    <w:name w:val="Body Text"/>
    <w:basedOn w:val="1"/>
    <w:next w:val="1"/>
    <w:qFormat/>
    <w:uiPriority w:val="0"/>
    <w:pPr>
      <w:spacing w:after="120"/>
    </w:pPr>
  </w:style>
  <w:style w:type="paragraph" w:styleId="10">
    <w:name w:val="Body Text Indent"/>
    <w:basedOn w:val="1"/>
    <w:qFormat/>
    <w:uiPriority w:val="0"/>
    <w:pPr>
      <w:ind w:firstLine="630"/>
    </w:pPr>
    <w:rPr>
      <w:sz w:val="32"/>
      <w:szCs w:val="20"/>
    </w:rPr>
  </w:style>
  <w:style w:type="paragraph" w:styleId="11">
    <w:name w:val="index 4"/>
    <w:basedOn w:val="1"/>
    <w:next w:val="1"/>
    <w:qFormat/>
    <w:uiPriority w:val="99"/>
    <w:pPr>
      <w:ind w:left="600" w:leftChars="600"/>
    </w:pPr>
    <w:rPr>
      <w:rFonts w:ascii="Verdana" w:hAnsi="Verdana"/>
      <w:szCs w:val="20"/>
    </w:rPr>
  </w:style>
  <w:style w:type="paragraph" w:styleId="12">
    <w:name w:val="Plain Text"/>
    <w:basedOn w:val="1"/>
    <w:qFormat/>
    <w:uiPriority w:val="0"/>
    <w:pPr>
      <w:autoSpaceDE w:val="0"/>
      <w:autoSpaceDN w:val="0"/>
      <w:adjustRightInd w:val="0"/>
    </w:pPr>
    <w:rPr>
      <w:rFonts w:ascii="宋体"/>
    </w:rPr>
  </w:style>
  <w:style w:type="paragraph" w:styleId="13">
    <w:name w:val="Body Text Indent 2"/>
    <w:basedOn w:val="1"/>
    <w:qFormat/>
    <w:uiPriority w:val="0"/>
    <w:pPr>
      <w:spacing w:after="120" w:line="480" w:lineRule="auto"/>
      <w:ind w:left="200" w:leftChars="2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tabs>
        <w:tab w:val="center" w:pos="4153"/>
        <w:tab w:val="right" w:pos="8306"/>
      </w:tabs>
      <w:snapToGrid w:val="0"/>
    </w:pPr>
    <w:rPr>
      <w:sz w:val="18"/>
    </w:rPr>
  </w:style>
  <w:style w:type="paragraph" w:styleId="16">
    <w:name w:val="toc 1"/>
    <w:basedOn w:val="1"/>
    <w:next w:val="1"/>
    <w:qFormat/>
    <w:uiPriority w:val="0"/>
  </w:style>
  <w:style w:type="paragraph" w:styleId="17">
    <w:name w:val="Normal (Web)"/>
    <w:basedOn w:val="1"/>
    <w:qFormat/>
    <w:uiPriority w:val="0"/>
    <w:pPr>
      <w:widowControl/>
      <w:spacing w:before="100" w:beforeAutospacing="1" w:after="100" w:afterAutospacing="1"/>
      <w:jc w:val="left"/>
    </w:pPr>
    <w:rPr>
      <w:rFonts w:ascii="宋体"/>
      <w:sz w:val="18"/>
      <w:szCs w:val="18"/>
    </w:rPr>
  </w:style>
  <w:style w:type="paragraph" w:styleId="18">
    <w:name w:val="Title"/>
    <w:basedOn w:val="1"/>
    <w:next w:val="1"/>
    <w:qFormat/>
    <w:uiPriority w:val="10"/>
    <w:pPr>
      <w:spacing w:before="240" w:after="60"/>
      <w:jc w:val="center"/>
      <w:outlineLvl w:val="0"/>
    </w:pPr>
    <w:rPr>
      <w:rFonts w:ascii="Cambria" w:hAnsi="Cambria" w:cs="Times New Roman"/>
      <w:b/>
      <w:bCs/>
      <w:sz w:val="32"/>
      <w:szCs w:val="32"/>
    </w:rPr>
  </w:style>
  <w:style w:type="character" w:styleId="21">
    <w:name w:val="page number"/>
    <w:basedOn w:val="20"/>
    <w:qFormat/>
    <w:uiPriority w:val="0"/>
  </w:style>
  <w:style w:type="character" w:styleId="22">
    <w:name w:val="Hyperlink"/>
    <w:basedOn w:val="20"/>
    <w:qFormat/>
    <w:uiPriority w:val="0"/>
    <w:rPr>
      <w:color w:val="0000FF"/>
      <w:u w:val="single"/>
    </w:rPr>
  </w:style>
  <w:style w:type="character" w:styleId="23">
    <w:name w:val="annotation reference"/>
    <w:basedOn w:val="20"/>
    <w:qFormat/>
    <w:uiPriority w:val="0"/>
    <w:rPr>
      <w:sz w:val="21"/>
      <w:szCs w:val="21"/>
    </w:rPr>
  </w:style>
  <w:style w:type="paragraph" w:customStyle="1" w:styleId="24">
    <w:name w:val="WPSOffice手动目录 1"/>
    <w:qFormat/>
    <w:uiPriority w:val="0"/>
    <w:rPr>
      <w:rFonts w:ascii="Calibri" w:hAnsi="Calibri" w:eastAsia="宋体" w:cs="Arial"/>
      <w:lang w:val="en-US" w:eastAsia="zh-CN" w:bidi="ar-SA"/>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列出段落1"/>
    <w:basedOn w:val="1"/>
    <w:qFormat/>
    <w:uiPriority w:val="0"/>
    <w:pPr>
      <w:ind w:firstLine="200" w:firstLineChars="200"/>
    </w:pPr>
  </w:style>
  <w:style w:type="paragraph" w:customStyle="1" w:styleId="27">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Default"/>
    <w:next w:val="3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List Paragraph"/>
    <w:basedOn w:val="1"/>
    <w:qFormat/>
    <w:uiPriority w:val="0"/>
    <w:pPr>
      <w:ind w:firstLine="200" w:firstLineChars="200"/>
    </w:pPr>
  </w:style>
  <w:style w:type="character" w:customStyle="1" w:styleId="33">
    <w:name w:val="font21"/>
    <w:basedOn w:val="20"/>
    <w:qFormat/>
    <w:uiPriority w:val="0"/>
    <w:rPr>
      <w:rFonts w:ascii="方正仿宋_GBK" w:hAnsi="方正仿宋_GBK" w:eastAsia="方正仿宋_GBK" w:cs="方正仿宋_GBK"/>
      <w:color w:val="000000"/>
      <w:sz w:val="22"/>
      <w:szCs w:val="22"/>
      <w:u w:val="none"/>
    </w:rPr>
  </w:style>
  <w:style w:type="character" w:customStyle="1" w:styleId="34">
    <w:name w:val="font11"/>
    <w:basedOn w:val="20"/>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28028</Words>
  <Characters>29354</Characters>
  <Paragraphs>1507</Paragraphs>
  <TotalTime>84</TotalTime>
  <ScaleCrop>false</ScaleCrop>
  <LinksUpToDate>false</LinksUpToDate>
  <CharactersWithSpaces>29965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2022-08-22T09:58:00Z</dcterms:created>
  <dc:creator>Administrator</dc:creator>
  <cp:lastModifiedBy>123</cp:lastModifiedBy>
  <cp:lastPrinted>2021-05-06T10:04:00Z</cp:lastPrinted>
  <dcterms:modified xsi:type="dcterms:W3CDTF">2023-09-02T03:16:54Z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DF474B2427A446769C98B6793C1D1425_13</vt:lpwstr>
  </property>
</Properties>
</file>