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16A482BC">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0FB5FE07">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lang w:val="en-US" w:eastAsia="zh-CN"/>
        </w:rPr>
        <w:t>2026-2027年度</w:t>
      </w:r>
      <w:r>
        <w:rPr>
          <w:rFonts w:hint="eastAsia" w:ascii="Times New Roman" w:hAnsi="Times New Roman" w:eastAsia="黑体" w:cs="Times New Roman"/>
          <w:sz w:val="48"/>
          <w:szCs w:val="48"/>
        </w:rPr>
        <w:t>发电机维护保养服务</w:t>
      </w:r>
    </w:p>
    <w:p w14:paraId="363E4D4A">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rPr>
        <w:t>采购项目</w:t>
      </w:r>
      <w:bookmarkStart w:id="0" w:name="_Toc12406"/>
    </w:p>
    <w:p w14:paraId="4F6C0109">
      <w:pPr>
        <w:spacing w:line="180" w:lineRule="atLeast"/>
        <w:jc w:val="center"/>
        <w:rPr>
          <w:rFonts w:hint="default" w:ascii="Times New Roman" w:hAnsi="Times New Roman" w:eastAsia="黑体" w:cs="Times New Roman"/>
          <w:sz w:val="52"/>
          <w:lang w:val="en-US" w:eastAsia="zh-CN"/>
        </w:rPr>
      </w:pPr>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55E6E04F">
      <w:pPr>
        <w:spacing w:line="360" w:lineRule="auto"/>
        <w:jc w:val="cente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248190FF">
      <w:pPr>
        <w:jc w:val="center"/>
        <w:rPr>
          <w:rFonts w:hint="eastAsia" w:ascii="方正仿宋_GBK" w:hAnsi="方正仿宋_GBK" w:eastAsia="方正仿宋_GBK" w:cs="方正仿宋_GBK"/>
          <w:b/>
          <w:bCs/>
          <w:sz w:val="44"/>
          <w:szCs w:val="48"/>
        </w:rPr>
      </w:pPr>
    </w:p>
    <w:p w14:paraId="7CE15747">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5"/>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40</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51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5"/>
        <w:tabs>
          <w:tab w:val="right" w:leader="dot" w:pos="8296"/>
        </w:tabs>
        <w:spacing w:line="560" w:lineRule="exact"/>
      </w:pPr>
    </w:p>
    <w:p w14:paraId="656A8E3D">
      <w:pPr>
        <w:pStyle w:val="15"/>
        <w:tabs>
          <w:tab w:val="right" w:leader="dot" w:pos="8296"/>
        </w:tabs>
        <w:spacing w:line="560" w:lineRule="exact"/>
      </w:pPr>
    </w:p>
    <w:p w14:paraId="26FDA492">
      <w:pPr>
        <w:pStyle w:val="15"/>
        <w:tabs>
          <w:tab w:val="right" w:leader="dot" w:pos="8296"/>
        </w:tabs>
        <w:spacing w:line="560" w:lineRule="exact"/>
      </w:pPr>
    </w:p>
    <w:p w14:paraId="11CEFA9A">
      <w:pPr>
        <w:pStyle w:val="15"/>
        <w:tabs>
          <w:tab w:val="right" w:leader="dot" w:pos="8296"/>
        </w:tabs>
        <w:spacing w:line="560" w:lineRule="exact"/>
      </w:pPr>
    </w:p>
    <w:p w14:paraId="424F08B9">
      <w:pPr>
        <w:pStyle w:val="15"/>
        <w:tabs>
          <w:tab w:val="right" w:leader="dot" w:pos="8296"/>
        </w:tabs>
        <w:spacing w:line="560" w:lineRule="exact"/>
      </w:pPr>
    </w:p>
    <w:p w14:paraId="5AA28AD0">
      <w:pPr>
        <w:pStyle w:val="15"/>
        <w:tabs>
          <w:tab w:val="right" w:leader="dot" w:pos="8296"/>
        </w:tabs>
        <w:spacing w:line="560" w:lineRule="exact"/>
      </w:pPr>
    </w:p>
    <w:p w14:paraId="0435B3E7">
      <w:pPr>
        <w:pStyle w:val="15"/>
        <w:tabs>
          <w:tab w:val="right" w:leader="dot" w:pos="8296"/>
        </w:tabs>
        <w:spacing w:line="560" w:lineRule="exact"/>
      </w:pPr>
    </w:p>
    <w:p w14:paraId="7DC63A3B">
      <w:pPr>
        <w:pStyle w:val="28"/>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7" w:name="_Toc1258"/>
      <w:bookmarkStart w:id="8" w:name="_Toc4542"/>
      <w:bookmarkStart w:id="9" w:name="_Toc5885"/>
      <w:bookmarkStart w:id="10" w:name="_Toc13231"/>
      <w:bookmarkStart w:id="11" w:name="_Toc112053976"/>
      <w:bookmarkStart w:id="12" w:name="_Toc30246"/>
    </w:p>
    <w:p w14:paraId="45CD7C04">
      <w:pPr>
        <w:pStyle w:val="28"/>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7"/>
      <w:bookmarkEnd w:id="8"/>
      <w:bookmarkEnd w:id="9"/>
      <w:bookmarkEnd w:id="10"/>
      <w:bookmarkEnd w:id="11"/>
      <w:bookmarkEnd w:id="12"/>
    </w:p>
    <w:p w14:paraId="69860FF5">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九寨沟风景名胜区管理局2026-2027年度发电机维护保养服务采购项目</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3" w:name="_Toc15151"/>
      <w:bookmarkStart w:id="14" w:name="_Toc14150"/>
      <w:bookmarkStart w:id="15" w:name="_Toc21295"/>
      <w:bookmarkStart w:id="16" w:name="_Toc32612"/>
      <w:r>
        <w:rPr>
          <w:rFonts w:ascii="Times New Roman" w:hAnsi="Times New Roman" w:eastAsia="仿宋" w:cs="Times New Roman"/>
          <w:b/>
          <w:bCs/>
          <w:sz w:val="24"/>
        </w:rPr>
        <w:t>一、采购项目基本情况</w:t>
      </w:r>
      <w:bookmarkEnd w:id="13"/>
      <w:bookmarkEnd w:id="14"/>
      <w:bookmarkEnd w:id="15"/>
      <w:bookmarkEnd w:id="16"/>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7"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26</w:t>
      </w:r>
      <w:r>
        <w:rPr>
          <w:rFonts w:ascii="Times New Roman" w:hAnsi="Times New Roman" w:eastAsia="仿宋" w:cs="Times New Roman"/>
          <w:color w:val="000000" w:themeColor="text1"/>
          <w:sz w:val="24"/>
          <w14:textFill>
            <w14:solidFill>
              <w14:schemeClr w14:val="tx1"/>
            </w14:solidFill>
          </w14:textFill>
        </w:rPr>
        <w:t xml:space="preserve">号  </w:t>
      </w:r>
      <w:bookmarkEnd w:id="17"/>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九寨沟风景名胜区管理局2026-2027年度发电机维护保养服务采购项目</w:t>
      </w:r>
    </w:p>
    <w:p w14:paraId="5ED2DB46">
      <w:pPr>
        <w:spacing w:line="440" w:lineRule="exact"/>
        <w:ind w:firstLine="480" w:firstLineChars="200"/>
        <w:outlineLvl w:val="0"/>
        <w:rPr>
          <w:rFonts w:ascii="Times New Roman" w:hAnsi="Times New Roman" w:eastAsia="仿宋" w:cs="Times New Roman"/>
          <w:b/>
          <w:sz w:val="24"/>
        </w:rPr>
      </w:pPr>
      <w:bookmarkStart w:id="18" w:name="_Toc31959"/>
      <w:bookmarkStart w:id="19" w:name="_Toc25027"/>
      <w:bookmarkStart w:id="20" w:name="_Toc4326"/>
      <w:bookmarkStart w:id="21" w:name="_Toc6182"/>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8"/>
      <w:bookmarkEnd w:id="19"/>
      <w:bookmarkEnd w:id="20"/>
      <w:bookmarkEnd w:id="21"/>
      <w:bookmarkStart w:id="22"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2"/>
    </w:p>
    <w:p w14:paraId="63F2C561">
      <w:pPr>
        <w:spacing w:after="120" w:line="440" w:lineRule="exact"/>
        <w:ind w:firstLine="482" w:firstLineChars="200"/>
        <w:outlineLvl w:val="0"/>
        <w:rPr>
          <w:rFonts w:ascii="Times New Roman" w:hAnsi="Times New Roman" w:eastAsia="仿宋" w:cs="Times New Roman"/>
          <w:b/>
          <w:bCs/>
          <w:sz w:val="24"/>
        </w:rPr>
      </w:pPr>
      <w:bookmarkStart w:id="23" w:name="_Toc6166"/>
      <w:bookmarkStart w:id="24" w:name="_Toc5319"/>
      <w:bookmarkStart w:id="25" w:name="_Toc27681"/>
      <w:bookmarkStart w:id="26" w:name="_Toc22715"/>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3"/>
      <w:bookmarkEnd w:id="24"/>
      <w:bookmarkEnd w:id="25"/>
      <w:bookmarkEnd w:id="26"/>
    </w:p>
    <w:p w14:paraId="361F6612">
      <w:pPr>
        <w:spacing w:after="120" w:line="440" w:lineRule="exact"/>
        <w:ind w:firstLine="480" w:firstLineChars="200"/>
        <w:rPr>
          <w:rFonts w:ascii="Times New Roman" w:hAnsi="Times New Roman" w:eastAsia="仿宋" w:cs="Times New Roman"/>
          <w:bCs/>
          <w:sz w:val="24"/>
        </w:rPr>
      </w:pPr>
      <w:bookmarkStart w:id="27"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7"/>
    <w:p w14:paraId="0338FF8B">
      <w:pPr>
        <w:spacing w:after="120" w:line="440" w:lineRule="exact"/>
        <w:ind w:firstLine="482" w:firstLineChars="200"/>
        <w:outlineLvl w:val="0"/>
        <w:rPr>
          <w:rFonts w:ascii="Times New Roman" w:hAnsi="Times New Roman" w:eastAsia="仿宋" w:cs="Times New Roman"/>
          <w:b/>
          <w:bCs/>
          <w:sz w:val="24"/>
        </w:rPr>
      </w:pPr>
      <w:bookmarkStart w:id="28" w:name="_Toc23812"/>
      <w:bookmarkStart w:id="29" w:name="_Toc9446"/>
      <w:bookmarkStart w:id="30" w:name="_Toc30006"/>
      <w:bookmarkStart w:id="31" w:name="_Toc19488"/>
      <w:r>
        <w:rPr>
          <w:rFonts w:ascii="Times New Roman" w:hAnsi="Times New Roman" w:eastAsia="仿宋" w:cs="Times New Roman"/>
          <w:b/>
          <w:bCs/>
          <w:sz w:val="24"/>
        </w:rPr>
        <w:t>四、供应商参加本次采购活动应具备下列条件：</w:t>
      </w:r>
      <w:bookmarkEnd w:id="28"/>
      <w:bookmarkEnd w:id="29"/>
      <w:bookmarkEnd w:id="30"/>
      <w:bookmarkEnd w:id="31"/>
    </w:p>
    <w:p w14:paraId="23ACC9A9">
      <w:pPr>
        <w:pStyle w:val="32"/>
        <w:spacing w:line="420" w:lineRule="exact"/>
        <w:ind w:firstLine="600" w:firstLineChars="250"/>
        <w:rPr>
          <w:rFonts w:ascii="Times New Roman" w:hAnsi="Times New Roman" w:eastAsia="仿宋" w:cs="Times New Roman"/>
          <w:sz w:val="24"/>
        </w:rPr>
      </w:pPr>
      <w:bookmarkStart w:id="32"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2"/>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3CC7D8F6">
      <w:pPr>
        <w:spacing w:line="420" w:lineRule="exact"/>
        <w:ind w:firstLine="480" w:firstLineChars="200"/>
        <w:rPr>
          <w:rFonts w:hint="default" w:ascii="Times New Roman" w:hAnsi="Times New Roman" w:eastAsia="仿宋" w:cs="Times New Roman"/>
          <w:bCs w:val="0"/>
          <w:sz w:val="24"/>
          <w:lang w:eastAsia="zh-CN"/>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default" w:ascii="Times New Roman" w:hAnsi="Times New Roman" w:eastAsia="仿宋" w:cs="Times New Roman"/>
          <w:bCs w:val="0"/>
          <w:sz w:val="24"/>
          <w:lang w:val="en-US" w:eastAsia="zh-CN"/>
        </w:rPr>
        <w:t>供应商</w:t>
      </w:r>
      <w:r>
        <w:rPr>
          <w:rFonts w:ascii="Times New Roman" w:hAnsi="Times New Roman" w:eastAsia="仿宋" w:cs="Times New Roman"/>
          <w:sz w:val="24"/>
          <w:szCs w:val="22"/>
        </w:rPr>
        <w:t>营业执照经营范围须包含机电设备安装、维修；发电机组维护保养；电力设备运维、电力技术服务；电气设备检修；机电系统调试；设备技术咨询服务等相关业务。</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2"/>
    <w:p w14:paraId="402F2148">
      <w:pPr>
        <w:spacing w:after="120" w:line="440" w:lineRule="exact"/>
        <w:ind w:firstLine="482" w:firstLineChars="200"/>
        <w:outlineLvl w:val="0"/>
        <w:rPr>
          <w:rFonts w:ascii="Times New Roman" w:hAnsi="Times New Roman" w:eastAsia="仿宋" w:cs="Times New Roman"/>
          <w:b/>
          <w:sz w:val="24"/>
        </w:rPr>
      </w:pPr>
      <w:bookmarkStart w:id="33" w:name="_Toc4471"/>
      <w:bookmarkStart w:id="34" w:name="_Toc9532"/>
      <w:bookmarkStart w:id="35" w:name="_Toc20569"/>
      <w:bookmarkStart w:id="36" w:name="_Toc10211"/>
      <w:r>
        <w:rPr>
          <w:rFonts w:ascii="Times New Roman" w:hAnsi="Times New Roman" w:eastAsia="仿宋" w:cs="Times New Roman"/>
          <w:b/>
          <w:sz w:val="24"/>
        </w:rPr>
        <w:t>五、磋商文件获取方式、时间、地点：</w:t>
      </w:r>
      <w:bookmarkEnd w:id="33"/>
      <w:bookmarkEnd w:id="34"/>
      <w:bookmarkEnd w:id="35"/>
      <w:bookmarkEnd w:id="36"/>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12</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14</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7" w:name="_Toc20215"/>
      <w:bookmarkStart w:id="38" w:name="_Toc10392"/>
      <w:bookmarkStart w:id="39" w:name="_Toc26124"/>
      <w:bookmarkStart w:id="40" w:name="_Toc16115"/>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1"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23</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1"/>
      <w:r>
        <w:rPr>
          <w:rFonts w:ascii="Times New Roman" w:hAnsi="Times New Roman" w:eastAsia="方正仿宋_GBK" w:cs="Times New Roman"/>
          <w:b/>
          <w:color w:val="000000" w:themeColor="text1"/>
          <w:sz w:val="24"/>
          <w14:textFill>
            <w14:solidFill>
              <w14:schemeClr w14:val="tx1"/>
            </w14:solidFill>
          </w14:textFill>
        </w:rPr>
        <w:t>（北京时间）。</w:t>
      </w:r>
      <w:bookmarkEnd w:id="37"/>
      <w:bookmarkEnd w:id="38"/>
      <w:bookmarkEnd w:id="39"/>
      <w:bookmarkEnd w:id="40"/>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2" w:name="_Toc26462"/>
      <w:bookmarkStart w:id="43" w:name="_Toc12525"/>
      <w:bookmarkStart w:id="44" w:name="_Toc11111"/>
      <w:bookmarkStart w:id="45" w:name="_Toc2427"/>
      <w:r>
        <w:rPr>
          <w:rFonts w:ascii="Times New Roman" w:hAnsi="Times New Roman" w:eastAsia="仿宋" w:cs="Times New Roman"/>
          <w:b/>
          <w:color w:val="000000" w:themeColor="text1"/>
          <w:sz w:val="24"/>
          <w14:textFill>
            <w14:solidFill>
              <w14:schemeClr w14:val="tx1"/>
            </w14:solidFill>
          </w14:textFill>
        </w:rPr>
        <w:t>七、递交响应文件地点：</w:t>
      </w:r>
      <w:bookmarkEnd w:id="42"/>
      <w:bookmarkEnd w:id="43"/>
      <w:bookmarkEnd w:id="44"/>
      <w:bookmarkEnd w:id="45"/>
      <w:bookmarkStart w:id="46"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6"/>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7"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7"/>
      <w:bookmarkStart w:id="48"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23</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23</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48"/>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49" w:name="_Toc4893"/>
      <w:bookmarkStart w:id="50" w:name="_Toc18189"/>
      <w:bookmarkStart w:id="51" w:name="_Toc3759"/>
      <w:bookmarkStart w:id="52" w:name="_Toc17292"/>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23</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49"/>
      <w:bookmarkEnd w:id="50"/>
      <w:bookmarkEnd w:id="51"/>
      <w:bookmarkEnd w:id="52"/>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3" w:name="_Toc12101"/>
      <w:bookmarkStart w:id="54" w:name="_Toc3592"/>
      <w:bookmarkStart w:id="55" w:name="_Toc29294"/>
      <w:bookmarkStart w:id="56" w:name="_Toc29508"/>
      <w:r>
        <w:rPr>
          <w:rFonts w:ascii="Times New Roman" w:hAnsi="Times New Roman" w:eastAsia="仿宋" w:cs="Times New Roman"/>
          <w:b/>
          <w:color w:val="000000" w:themeColor="text1"/>
          <w:sz w:val="24"/>
          <w:szCs w:val="28"/>
          <w14:textFill>
            <w14:solidFill>
              <w14:schemeClr w14:val="tx1"/>
            </w14:solidFill>
          </w14:textFill>
        </w:rPr>
        <w:t>九、磋商地点</w:t>
      </w:r>
      <w:bookmarkEnd w:id="53"/>
      <w:bookmarkEnd w:id="54"/>
      <w:bookmarkEnd w:id="55"/>
      <w:bookmarkEnd w:id="56"/>
    </w:p>
    <w:p w14:paraId="11C4236F">
      <w:pPr>
        <w:spacing w:line="420" w:lineRule="exact"/>
        <w:ind w:firstLine="482" w:firstLineChars="200"/>
        <w:outlineLvl w:val="0"/>
        <w:rPr>
          <w:rFonts w:ascii="Times New Roman" w:hAnsi="Times New Roman" w:eastAsia="仿宋" w:cs="Times New Roman"/>
          <w:b/>
          <w:color w:val="000000"/>
          <w:sz w:val="24"/>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bookmarkStart w:id="57" w:name="_Toc27278"/>
      <w:bookmarkStart w:id="58" w:name="_Toc16566"/>
      <w:bookmarkStart w:id="59" w:name="_Toc26010"/>
      <w:bookmarkStart w:id="60" w:name="_Toc1510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7"/>
      <w:bookmarkEnd w:id="58"/>
      <w:bookmarkEnd w:id="59"/>
      <w:bookmarkEnd w:id="60"/>
    </w:p>
    <w:p w14:paraId="7B40D7B4">
      <w:pPr>
        <w:spacing w:line="560" w:lineRule="exact"/>
        <w:ind w:firstLine="954"/>
        <w:rPr>
          <w:rFonts w:hint="eastAsia"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规划建设处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lang w:val="en-US" w:eastAsia="zh-CN"/>
        </w:rPr>
        <w:t>易先生</w:t>
      </w:r>
    </w:p>
    <w:p w14:paraId="6F4D8431">
      <w:pPr>
        <w:spacing w:line="560" w:lineRule="exact"/>
        <w:ind w:firstLine="960" w:firstLineChars="400"/>
        <w:rPr>
          <w:rFonts w:hint="default" w:ascii="Times New Roman" w:hAnsi="Times New Roman" w:eastAsia="宋体" w:cs="Times New Roman"/>
          <w:color w:val="000000"/>
          <w:sz w:val="24"/>
          <w:lang w:val="en-US" w:eastAsia="zh-CN"/>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lang w:val="en-US" w:eastAsia="zh-CN"/>
        </w:rPr>
        <w:t>13309044633</w:t>
      </w:r>
    </w:p>
    <w:p w14:paraId="5A8A4FB9">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7"/>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7"/>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11</w:t>
      </w:r>
      <w:r>
        <w:rPr>
          <w:rFonts w:ascii="Times New Roman" w:hAnsi="Times New Roman" w:eastAsia="方正仿宋_GBK" w:cs="Times New Roman"/>
          <w:color w:val="000000"/>
          <w:sz w:val="24"/>
          <w:szCs w:val="24"/>
        </w:rPr>
        <w:t>日</w:t>
      </w:r>
    </w:p>
    <w:p w14:paraId="279B9854">
      <w:pPr>
        <w:spacing w:before="240" w:after="60"/>
        <w:jc w:val="center"/>
        <w:outlineLvl w:val="0"/>
        <w:rPr>
          <w:rFonts w:ascii="Times New Roman" w:hAnsi="Times New Roman" w:eastAsia="仿宋" w:cs="Times New Roman"/>
          <w:b/>
          <w:sz w:val="36"/>
          <w:szCs w:val="36"/>
        </w:rPr>
      </w:pPr>
      <w:bookmarkStart w:id="61" w:name="_Toc5185"/>
      <w:bookmarkStart w:id="62" w:name="_Toc24386"/>
      <w:bookmarkStart w:id="63" w:name="_Toc2678"/>
      <w:bookmarkStart w:id="64" w:name="_Toc112053977"/>
      <w:bookmarkStart w:id="65" w:name="_Toc11915"/>
      <w:bookmarkStart w:id="66" w:name="_Toc11413"/>
      <w:r>
        <w:rPr>
          <w:rFonts w:ascii="Times New Roman" w:hAnsi="Times New Roman" w:eastAsia="仿宋" w:cs="Times New Roman"/>
          <w:b/>
          <w:sz w:val="36"/>
          <w:szCs w:val="36"/>
        </w:rPr>
        <w:t>第二章  磋商须知</w:t>
      </w:r>
      <w:bookmarkEnd w:id="61"/>
      <w:bookmarkEnd w:id="62"/>
      <w:bookmarkEnd w:id="63"/>
      <w:bookmarkEnd w:id="64"/>
      <w:bookmarkEnd w:id="65"/>
      <w:bookmarkEnd w:id="66"/>
    </w:p>
    <w:p w14:paraId="70CC024E">
      <w:pPr>
        <w:spacing w:before="260" w:after="260"/>
        <w:jc w:val="center"/>
        <w:outlineLvl w:val="0"/>
        <w:rPr>
          <w:rFonts w:ascii="Times New Roman" w:hAnsi="Times New Roman" w:eastAsia="仿宋" w:cs="Times New Roman"/>
          <w:b/>
          <w:sz w:val="32"/>
        </w:rPr>
      </w:pPr>
      <w:bookmarkStart w:id="67" w:name="_Toc31655"/>
      <w:bookmarkStart w:id="68" w:name="_Toc11648"/>
      <w:bookmarkStart w:id="69" w:name="_Toc24244"/>
      <w:bookmarkStart w:id="70" w:name="_Toc23505"/>
      <w:r>
        <w:rPr>
          <w:rFonts w:ascii="Times New Roman" w:hAnsi="Times New Roman" w:eastAsia="仿宋" w:cs="Times New Roman"/>
          <w:b/>
          <w:sz w:val="32"/>
        </w:rPr>
        <w:t>一、供应商须知附表</w:t>
      </w:r>
      <w:bookmarkEnd w:id="67"/>
      <w:bookmarkEnd w:id="68"/>
      <w:bookmarkEnd w:id="69"/>
      <w:bookmarkEnd w:id="70"/>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4"/>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4"/>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1"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14</w:t>
            </w:r>
            <w:r>
              <w:rPr>
                <w:rFonts w:ascii="Times New Roman" w:hAnsi="Times New Roman" w:eastAsia="仿宋" w:cs="Times New Roman"/>
                <w:szCs w:val="21"/>
              </w:rPr>
              <w:t xml:space="preserve">万元 </w:t>
            </w:r>
            <w:bookmarkEnd w:id="71"/>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2"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14</w:t>
            </w:r>
            <w:r>
              <w:rPr>
                <w:rFonts w:ascii="Times New Roman" w:hAnsi="Times New Roman" w:eastAsia="仿宋" w:cs="Times New Roman"/>
                <w:szCs w:val="21"/>
              </w:rPr>
              <w:t xml:space="preserve">万元 </w:t>
            </w:r>
            <w:bookmarkEnd w:id="72"/>
          </w:p>
          <w:p w14:paraId="26830066">
            <w:pPr>
              <w:spacing w:line="340" w:lineRule="exact"/>
              <w:ind w:left="105" w:leftChars="50" w:right="105" w:rightChars="50"/>
              <w:rPr>
                <w:rFonts w:ascii="Times New Roman" w:hAnsi="Times New Roman" w:eastAsia="仿宋" w:cs="Times New Roman"/>
                <w:szCs w:val="21"/>
              </w:rPr>
            </w:pPr>
            <w:bookmarkStart w:id="73"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3"/>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4"/>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4"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4"/>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4"/>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5"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5"/>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4"/>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4"/>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4"/>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4"/>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4"/>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4"/>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4"/>
              <w:ind w:right="230"/>
              <w:jc w:val="both"/>
              <w:rPr>
                <w:rFonts w:ascii="Times New Roman" w:eastAsia="仿宋" w:cs="Times New Roman"/>
                <w:sz w:val="21"/>
                <w:szCs w:val="21"/>
                <w:lang w:val="zh-CN"/>
              </w:rPr>
            </w:pPr>
            <w:bookmarkStart w:id="76"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6"/>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4"/>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4"/>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4"/>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7" w:name="_Toc28943"/>
      <w:bookmarkStart w:id="78" w:name="_Toc15192"/>
      <w:bookmarkStart w:id="79" w:name="_Toc18843"/>
      <w:bookmarkStart w:id="80" w:name="_Toc5678"/>
      <w:r>
        <w:rPr>
          <w:rFonts w:ascii="Times New Roman" w:hAnsi="Times New Roman" w:eastAsia="仿宋" w:cs="Times New Roman"/>
          <w:b/>
          <w:sz w:val="32"/>
          <w:szCs w:val="32"/>
        </w:rPr>
        <w:t>二、总  则</w:t>
      </w:r>
      <w:bookmarkEnd w:id="77"/>
      <w:bookmarkEnd w:id="78"/>
      <w:bookmarkEnd w:id="79"/>
      <w:bookmarkEnd w:id="80"/>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1"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1"/>
    </w:p>
    <w:p w14:paraId="3B178310">
      <w:pPr>
        <w:rPr>
          <w:rFonts w:ascii="Times New Roman" w:hAnsi="Times New Roman" w:eastAsia="仿宋" w:cs="Times New Roman"/>
          <w:b/>
          <w:bCs/>
          <w:sz w:val="24"/>
          <w:szCs w:val="32"/>
        </w:rPr>
      </w:pPr>
      <w:bookmarkStart w:id="82" w:name="_Toc183682343"/>
      <w:bookmarkStart w:id="83" w:name="_Toc183582206"/>
      <w:bookmarkStart w:id="84" w:name="_Toc217446035"/>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2"/>
      <w:bookmarkEnd w:id="83"/>
      <w:bookmarkEnd w:id="84"/>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5" w:name="PO_采购人_4"/>
      <w:r>
        <w:rPr>
          <w:rFonts w:ascii="Times New Roman" w:hAnsi="Times New Roman" w:eastAsia="仿宋" w:cs="Times New Roman"/>
          <w:sz w:val="24"/>
          <w:u w:val="single"/>
        </w:rPr>
        <w:t>九寨沟风景名胜区管理局</w:t>
      </w:r>
      <w:bookmarkEnd w:id="85"/>
      <w:r>
        <w:rPr>
          <w:rFonts w:hint="eastAsia" w:ascii="Times New Roman" w:hAnsi="Times New Roman" w:eastAsia="仿宋" w:cs="Times New Roman"/>
          <w:sz w:val="24"/>
          <w:u w:val="single"/>
          <w:lang w:val="en-US" w:eastAsia="zh-CN"/>
        </w:rPr>
        <w:t>规划建设</w:t>
      </w:r>
      <w:r>
        <w:rPr>
          <w:rFonts w:hint="eastAsia" w:ascii="Times New Roman" w:hAnsi="Times New Roman" w:eastAsia="仿宋" w:cs="Times New Roman"/>
          <w:sz w:val="24"/>
          <w:u w:val="single"/>
        </w:rPr>
        <w:t>处</w:t>
      </w:r>
      <w:r>
        <w:rPr>
          <w:rFonts w:ascii="Times New Roman" w:hAnsi="Times New Roman" w:eastAsia="仿宋" w:cs="Times New Roman"/>
          <w:bCs/>
          <w:sz w:val="24"/>
          <w:u w:val="single"/>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6" w:name="_Toc217390843"/>
      <w:bookmarkStart w:id="87" w:name="_Toc183682344"/>
      <w:bookmarkStart w:id="88" w:name="_Toc183582207"/>
      <w:bookmarkStart w:id="89" w:name="_Toc217446036"/>
      <w:r>
        <w:rPr>
          <w:rFonts w:ascii="Times New Roman" w:hAnsi="Times New Roman" w:eastAsia="仿宋" w:cs="Times New Roman"/>
          <w:sz w:val="24"/>
        </w:rPr>
        <w:t>3. 合格</w:t>
      </w:r>
      <w:bookmarkEnd w:id="86"/>
      <w:bookmarkEnd w:id="87"/>
      <w:bookmarkEnd w:id="88"/>
      <w:bookmarkEnd w:id="89"/>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0" w:name="_Toc183582208"/>
      <w:bookmarkStart w:id="91" w:name="_Toc183682345"/>
      <w:bookmarkStart w:id="92" w:name="_Toc217446037"/>
      <w:r>
        <w:rPr>
          <w:rFonts w:ascii="Times New Roman" w:hAnsi="Times New Roman" w:eastAsia="仿宋" w:cs="Times New Roman"/>
          <w:sz w:val="24"/>
        </w:rPr>
        <w:t>4. 磋商费用</w:t>
      </w:r>
      <w:bookmarkEnd w:id="90"/>
      <w:bookmarkEnd w:id="91"/>
      <w:bookmarkEnd w:id="92"/>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5"/>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5"/>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5"/>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5"/>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5"/>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5"/>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5"/>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5"/>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5"/>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5"/>
        <w:spacing w:line="400" w:lineRule="exact"/>
        <w:ind w:left="1" w:firstLine="482" w:firstLineChars="200"/>
        <w:rPr>
          <w:rFonts w:ascii="Times New Roman" w:eastAsia="仿宋"/>
          <w:b/>
          <w:sz w:val="24"/>
        </w:rPr>
      </w:pPr>
    </w:p>
    <w:p w14:paraId="20DA29EF">
      <w:pPr>
        <w:pStyle w:val="35"/>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5"/>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5"/>
        <w:spacing w:line="400" w:lineRule="exact"/>
        <w:ind w:left="1" w:firstLine="480" w:firstLineChars="200"/>
        <w:rPr>
          <w:rFonts w:ascii="Times New Roman" w:eastAsia="仿宋"/>
          <w:sz w:val="24"/>
        </w:rPr>
      </w:pPr>
    </w:p>
    <w:p w14:paraId="1EDE6B0B">
      <w:pPr>
        <w:pStyle w:val="35"/>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8"/>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3" w:name="_Toc23423"/>
      <w:bookmarkStart w:id="94" w:name="_Toc16184"/>
      <w:bookmarkStart w:id="95" w:name="_Toc14605"/>
      <w:bookmarkStart w:id="96" w:name="_Toc30582"/>
      <w:r>
        <w:rPr>
          <w:rFonts w:ascii="Times New Roman" w:hAnsi="Times New Roman" w:eastAsia="仿宋" w:cs="Times New Roman"/>
          <w:b/>
          <w:sz w:val="32"/>
          <w:szCs w:val="32"/>
        </w:rPr>
        <w:t>三、磋商文件</w:t>
      </w:r>
      <w:bookmarkEnd w:id="93"/>
      <w:bookmarkEnd w:id="94"/>
      <w:bookmarkEnd w:id="95"/>
      <w:bookmarkEnd w:id="96"/>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7" w:name="_Toc183682348"/>
      <w:bookmarkStart w:id="98" w:name="_Toc183582211"/>
      <w:bookmarkStart w:id="99"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7"/>
      <w:bookmarkEnd w:id="98"/>
      <w:r>
        <w:rPr>
          <w:rFonts w:ascii="Times New Roman" w:hAnsi="Times New Roman" w:eastAsia="仿宋" w:cs="Times New Roman"/>
          <w:sz w:val="24"/>
        </w:rPr>
        <w:t>和修改</w:t>
      </w:r>
      <w:bookmarkEnd w:id="99"/>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0" w:name="_Toc217446041"/>
      <w:bookmarkStart w:id="101" w:name="_Toc208848971"/>
      <w:r>
        <w:rPr>
          <w:rFonts w:ascii="Times New Roman" w:hAnsi="Times New Roman" w:eastAsia="仿宋" w:cs="Times New Roman"/>
          <w:sz w:val="24"/>
        </w:rPr>
        <w:t>11. 答疑会和现场考察</w:t>
      </w:r>
      <w:bookmarkEnd w:id="100"/>
      <w:bookmarkEnd w:id="101"/>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2" w:name="_Toc89075876"/>
      <w:bookmarkStart w:id="103" w:name="_Toc77400780"/>
      <w:bookmarkStart w:id="104" w:name="_Toc217446042"/>
      <w:bookmarkStart w:id="105" w:name="_Toc183582214"/>
      <w:bookmarkStart w:id="106" w:name="_Toc183682351"/>
    </w:p>
    <w:p w14:paraId="6BCB9CDE">
      <w:pPr>
        <w:pStyle w:val="3"/>
        <w:keepNext w:val="0"/>
        <w:keepLines w:val="0"/>
        <w:spacing w:before="0" w:after="0" w:line="400" w:lineRule="exact"/>
        <w:jc w:val="center"/>
        <w:rPr>
          <w:rFonts w:ascii="Times New Roman" w:hAnsi="Times New Roman" w:eastAsia="仿宋" w:cs="Times New Roman"/>
          <w:bCs w:val="0"/>
        </w:rPr>
      </w:pPr>
      <w:bookmarkStart w:id="107" w:name="_Toc24592"/>
      <w:bookmarkStart w:id="108" w:name="_Toc30222"/>
      <w:bookmarkStart w:id="109" w:name="_Toc20731"/>
      <w:bookmarkStart w:id="110" w:name="_Toc25420"/>
      <w:r>
        <w:rPr>
          <w:rFonts w:ascii="Times New Roman" w:hAnsi="Times New Roman" w:eastAsia="仿宋" w:cs="Times New Roman"/>
          <w:bCs w:val="0"/>
        </w:rPr>
        <w:t>四、响应文件</w:t>
      </w:r>
      <w:bookmarkEnd w:id="102"/>
      <w:bookmarkEnd w:id="103"/>
      <w:bookmarkEnd w:id="104"/>
      <w:bookmarkEnd w:id="105"/>
      <w:bookmarkEnd w:id="106"/>
      <w:bookmarkEnd w:id="107"/>
      <w:bookmarkEnd w:id="108"/>
      <w:bookmarkEnd w:id="109"/>
      <w:bookmarkEnd w:id="110"/>
    </w:p>
    <w:p w14:paraId="22125E7B">
      <w:pPr>
        <w:rPr>
          <w:rFonts w:ascii="Times New Roman" w:hAnsi="Times New Roman" w:eastAsia="仿宋" w:cs="Times New Roman"/>
          <w:b/>
          <w:sz w:val="24"/>
          <w:szCs w:val="32"/>
        </w:rPr>
      </w:pPr>
      <w:bookmarkStart w:id="111" w:name="_Toc183582215"/>
      <w:bookmarkStart w:id="112" w:name="_Toc183682352"/>
      <w:bookmarkStart w:id="113" w:name="_Toc217446043"/>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1"/>
      <w:bookmarkEnd w:id="112"/>
      <w:bookmarkEnd w:id="113"/>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4" w:name="_Toc183682353"/>
      <w:bookmarkStart w:id="115" w:name="_Toc217446044"/>
      <w:bookmarkStart w:id="116"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4"/>
      <w:bookmarkEnd w:id="115"/>
      <w:bookmarkEnd w:id="116"/>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7" w:name="_Toc183682361"/>
      <w:bookmarkStart w:id="118" w:name="_Toc217446051"/>
      <w:bookmarkStart w:id="119" w:name="_Toc183582224"/>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7"/>
    <w:bookmarkEnd w:id="118"/>
    <w:bookmarkEnd w:id="119"/>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0" w:name="_Toc217446055"/>
      <w:bookmarkStart w:id="121" w:name="_Toc183582228"/>
      <w:bookmarkStart w:id="122" w:name="_Toc18368236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0"/>
      <w:bookmarkEnd w:id="121"/>
      <w:bookmarkEnd w:id="122"/>
    </w:p>
    <w:p w14:paraId="77695509">
      <w:pPr>
        <w:pStyle w:val="3"/>
        <w:keepNext w:val="0"/>
        <w:keepLines w:val="0"/>
        <w:spacing w:line="400" w:lineRule="exact"/>
        <w:jc w:val="center"/>
        <w:rPr>
          <w:rFonts w:ascii="Times New Roman" w:hAnsi="Times New Roman" w:eastAsia="仿宋" w:cs="Times New Roman"/>
        </w:rPr>
      </w:pPr>
      <w:bookmarkStart w:id="123" w:name="_Toc10319"/>
      <w:bookmarkStart w:id="124" w:name="_Toc4837"/>
      <w:bookmarkStart w:id="125" w:name="_Toc3019"/>
      <w:bookmarkStart w:id="126" w:name="_Toc12864"/>
      <w:r>
        <w:rPr>
          <w:rFonts w:ascii="Times New Roman" w:hAnsi="Times New Roman" w:eastAsia="仿宋" w:cs="Times New Roman"/>
        </w:rPr>
        <w:t>五、评审</w:t>
      </w:r>
      <w:bookmarkEnd w:id="123"/>
      <w:bookmarkEnd w:id="124"/>
      <w:bookmarkEnd w:id="125"/>
      <w:bookmarkEnd w:id="126"/>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7" w:name="_Toc21300"/>
      <w:bookmarkStart w:id="128" w:name="_Toc7474"/>
      <w:bookmarkStart w:id="129" w:name="_Toc10683"/>
      <w:bookmarkStart w:id="130" w:name="_Toc13373"/>
      <w:r>
        <w:rPr>
          <w:rFonts w:ascii="Times New Roman" w:hAnsi="Times New Roman" w:eastAsia="仿宋" w:cs="Times New Roman"/>
        </w:rPr>
        <w:t>六、成交事项</w:t>
      </w:r>
      <w:bookmarkEnd w:id="127"/>
      <w:bookmarkEnd w:id="128"/>
      <w:bookmarkEnd w:id="129"/>
      <w:bookmarkEnd w:id="130"/>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1" w:name="_Toc11207"/>
      <w:bookmarkStart w:id="132" w:name="_Toc8769"/>
      <w:bookmarkStart w:id="133" w:name="_Toc28767"/>
      <w:bookmarkStart w:id="134" w:name="_Toc14156"/>
      <w:r>
        <w:rPr>
          <w:rFonts w:ascii="Times New Roman" w:hAnsi="Times New Roman" w:eastAsia="仿宋" w:cs="Times New Roman"/>
        </w:rPr>
        <w:t>七、合同事项</w:t>
      </w:r>
      <w:bookmarkEnd w:id="131"/>
      <w:bookmarkEnd w:id="132"/>
      <w:bookmarkEnd w:id="133"/>
      <w:bookmarkEnd w:id="134"/>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5" w:name="_Toc101250646"/>
      <w:bookmarkStart w:id="136" w:name="_Toc101338364"/>
      <w:bookmarkStart w:id="137" w:name="_Toc101174151"/>
      <w:bookmarkStart w:id="138" w:name="_Toc430773927"/>
      <w:bookmarkStart w:id="139" w:name="_Toc209847069"/>
      <w:r>
        <w:rPr>
          <w:rFonts w:ascii="Times New Roman" w:hAnsi="Times New Roman" w:eastAsia="仿宋" w:cs="Times New Roman"/>
          <w:sz w:val="24"/>
          <w:szCs w:val="24"/>
        </w:rPr>
        <w:t>25.签订合同</w:t>
      </w:r>
      <w:bookmarkEnd w:id="135"/>
      <w:bookmarkEnd w:id="136"/>
      <w:bookmarkEnd w:id="137"/>
      <w:bookmarkEnd w:id="138"/>
      <w:bookmarkEnd w:id="139"/>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0" w:name="_Toc3943"/>
      <w:bookmarkStart w:id="141" w:name="_Toc12909"/>
      <w:bookmarkStart w:id="142" w:name="_Toc18368"/>
      <w:bookmarkStart w:id="143" w:name="_Toc24269"/>
      <w:r>
        <w:rPr>
          <w:rFonts w:ascii="Times New Roman" w:hAnsi="Times New Roman" w:eastAsia="仿宋" w:cs="Times New Roman"/>
        </w:rPr>
        <w:t>八、磋商纪律要求</w:t>
      </w:r>
      <w:bookmarkEnd w:id="140"/>
      <w:bookmarkEnd w:id="141"/>
      <w:bookmarkEnd w:id="142"/>
      <w:bookmarkEnd w:id="143"/>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4" w:name="_Toc8160"/>
      <w:bookmarkStart w:id="145" w:name="_Toc11708"/>
      <w:bookmarkStart w:id="146" w:name="_Toc11868"/>
      <w:bookmarkStart w:id="147" w:name="_Toc17426"/>
      <w:r>
        <w:rPr>
          <w:rFonts w:ascii="Times New Roman" w:hAnsi="Times New Roman" w:eastAsia="仿宋" w:cs="Times New Roman"/>
          <w:b/>
          <w:sz w:val="32"/>
          <w:szCs w:val="32"/>
        </w:rPr>
        <w:t>九、其他</w:t>
      </w:r>
      <w:bookmarkEnd w:id="144"/>
      <w:bookmarkEnd w:id="145"/>
      <w:bookmarkEnd w:id="146"/>
      <w:bookmarkEnd w:id="147"/>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8"/>
        <w:rPr>
          <w:rFonts w:ascii="Times New Roman" w:hAnsi="Times New Roman" w:eastAsia="仿宋"/>
        </w:rPr>
      </w:pPr>
      <w:bookmarkStart w:id="148" w:name="_Toc4746"/>
      <w:bookmarkStart w:id="149" w:name="_Toc28201"/>
      <w:bookmarkStart w:id="150" w:name="_Toc18129"/>
      <w:bookmarkStart w:id="151" w:name="_Toc511210238"/>
      <w:bookmarkStart w:id="152" w:name="_Toc5665"/>
      <w:bookmarkStart w:id="153" w:name="_Toc21989"/>
      <w:r>
        <w:rPr>
          <w:rFonts w:ascii="Times New Roman" w:hAnsi="Times New Roman" w:eastAsia="仿宋"/>
        </w:rPr>
        <w:t>第三章  供应商和报价产品的资格、资质性及其他类似效力要求</w:t>
      </w:r>
      <w:bookmarkEnd w:id="148"/>
      <w:bookmarkEnd w:id="149"/>
      <w:bookmarkEnd w:id="150"/>
      <w:bookmarkEnd w:id="151"/>
      <w:bookmarkEnd w:id="152"/>
      <w:bookmarkEnd w:id="153"/>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43AAC6D2">
      <w:pPr>
        <w:spacing w:line="360" w:lineRule="auto"/>
        <w:ind w:firstLine="540" w:firstLineChars="225"/>
        <w:rPr>
          <w:rFonts w:hint="eastAsia"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供应商营业执照经营范围须包含机电设备安装、维修；发电机组维护保养；电力设备运维、电力技术服务；电气设备检修；机电系统调试；设备技术咨询服务等相关业务。</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7"/>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7"/>
        <w:rPr>
          <w:rFonts w:ascii="Times New Roman" w:hAnsi="Times New Roman" w:eastAsia="仿宋" w:cs="Times New Roman"/>
          <w:b/>
          <w:sz w:val="32"/>
        </w:rPr>
      </w:pPr>
    </w:p>
    <w:p w14:paraId="091C2D58">
      <w:pPr>
        <w:rPr>
          <w:rFonts w:ascii="Times New Roman" w:hAnsi="Times New Roman" w:cs="Times New Roman"/>
        </w:rPr>
      </w:pPr>
    </w:p>
    <w:p w14:paraId="1D2384DB">
      <w:pPr>
        <w:pStyle w:val="18"/>
        <w:jc w:val="both"/>
        <w:outlineLvl w:val="9"/>
        <w:rPr>
          <w:rFonts w:ascii="Times New Roman" w:hAnsi="Times New Roman" w:eastAsia="仿宋"/>
          <w:bCs w:val="0"/>
        </w:rPr>
      </w:pPr>
    </w:p>
    <w:p w14:paraId="443FB60E"/>
    <w:p w14:paraId="340F6B30">
      <w:pPr>
        <w:pStyle w:val="18"/>
        <w:outlineLvl w:val="9"/>
        <w:rPr>
          <w:rFonts w:ascii="Times New Roman" w:hAnsi="Times New Roman" w:eastAsia="仿宋"/>
          <w:bCs w:val="0"/>
        </w:rPr>
      </w:pPr>
      <w:bookmarkStart w:id="154" w:name="_Toc112053979"/>
      <w:bookmarkStart w:id="155" w:name="_Toc13412"/>
    </w:p>
    <w:p w14:paraId="6CE95B4C">
      <w:pPr>
        <w:pStyle w:val="18"/>
        <w:rPr>
          <w:rFonts w:ascii="Times New Roman" w:hAnsi="Times New Roman" w:eastAsia="仿宋"/>
          <w:bCs w:val="0"/>
        </w:rPr>
      </w:pPr>
      <w:bookmarkStart w:id="156" w:name="_Toc28520"/>
      <w:bookmarkStart w:id="157" w:name="_Toc8109"/>
      <w:bookmarkStart w:id="158" w:name="_Toc17149"/>
      <w:bookmarkStart w:id="159" w:name="_Toc27743"/>
    </w:p>
    <w:p w14:paraId="421AEAC4">
      <w:pPr>
        <w:pStyle w:val="18"/>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4"/>
      <w:bookmarkEnd w:id="155"/>
      <w:bookmarkEnd w:id="156"/>
      <w:bookmarkEnd w:id="157"/>
      <w:bookmarkEnd w:id="158"/>
      <w:bookmarkEnd w:id="159"/>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0" w:name="_Toc23965"/>
      <w:bookmarkStart w:id="161" w:name="_Toc31300"/>
      <w:bookmarkStart w:id="162" w:name="_Toc25631"/>
      <w:bookmarkStart w:id="163" w:name="_Toc1491"/>
      <w:bookmarkStart w:id="164" w:name="_Toc511210240"/>
      <w:bookmarkStart w:id="165" w:name="_Toc112053980"/>
      <w:r>
        <w:rPr>
          <w:rFonts w:ascii="Times New Roman" w:hAnsi="Times New Roman" w:eastAsia="仿宋" w:cs="Times New Roman"/>
          <w:b/>
          <w:sz w:val="24"/>
        </w:rPr>
        <w:t>一、应当提供的供应商资格、资质性及其他类似效力要求的相关证明材料</w:t>
      </w:r>
      <w:bookmarkEnd w:id="160"/>
      <w:bookmarkEnd w:id="161"/>
      <w:bookmarkEnd w:id="162"/>
      <w:bookmarkEnd w:id="163"/>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3FBB2F6B">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2、具备良好商业信誉和健全的财务会计制度的证明材料。</w:t>
      </w:r>
    </w:p>
    <w:p w14:paraId="21531A1F">
      <w:pPr>
        <w:spacing w:line="44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hint="eastAsia" w:ascii="Times New Roman" w:hAnsi="Times New Roman" w:eastAsia="仿宋" w:cs="Times New Roman"/>
          <w:color w:val="000000" w:themeColor="text1"/>
          <w:sz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7、本项目的特定资格要求：</w:t>
      </w:r>
      <w:r>
        <w:rPr>
          <w:rFonts w:hint="eastAsia" w:ascii="Times New Roman" w:hAnsi="Times New Roman" w:eastAsia="仿宋" w:cs="Times New Roman"/>
          <w:color w:val="000000" w:themeColor="text1"/>
          <w:sz w:val="24"/>
          <w:lang w:val="en-US" w:eastAsia="zh-CN"/>
          <w14:textFill>
            <w14:solidFill>
              <w14:schemeClr w14:val="tx1"/>
            </w14:solidFill>
          </w14:textFill>
        </w:rPr>
        <w:t>供应商营业执照经营范围须包含机电设备安装、维修；发电机组维护保养；电力设备运维、电力技术服务；电气设备检修；机电系统调试；设备技术咨询服务等相关业务。</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8"/>
        <w:ind w:firstLine="321" w:firstLineChars="100"/>
        <w:outlineLvl w:val="9"/>
        <w:rPr>
          <w:rFonts w:ascii="Times New Roman" w:hAnsi="Times New Roman" w:eastAsia="仿宋"/>
        </w:rPr>
      </w:pPr>
    </w:p>
    <w:p w14:paraId="7EEA3113">
      <w:pPr>
        <w:pStyle w:val="18"/>
        <w:ind w:firstLine="321" w:firstLineChars="100"/>
        <w:outlineLvl w:val="9"/>
        <w:rPr>
          <w:rFonts w:ascii="Times New Roman" w:hAnsi="Times New Roman" w:eastAsia="仿宋"/>
        </w:rPr>
      </w:pPr>
    </w:p>
    <w:p w14:paraId="40F07580">
      <w:pPr>
        <w:pStyle w:val="18"/>
        <w:ind w:firstLine="321" w:firstLineChars="100"/>
        <w:outlineLvl w:val="9"/>
        <w:rPr>
          <w:rFonts w:ascii="Times New Roman" w:hAnsi="Times New Roman" w:eastAsia="仿宋"/>
        </w:rPr>
      </w:pPr>
    </w:p>
    <w:p w14:paraId="6CAE9D8D">
      <w:pPr>
        <w:pStyle w:val="18"/>
        <w:ind w:firstLine="321" w:firstLineChars="100"/>
        <w:outlineLvl w:val="9"/>
        <w:rPr>
          <w:rFonts w:ascii="Times New Roman" w:hAnsi="Times New Roman" w:eastAsia="仿宋"/>
        </w:rPr>
      </w:pPr>
    </w:p>
    <w:p w14:paraId="5263FC70">
      <w:pPr>
        <w:pStyle w:val="18"/>
        <w:ind w:firstLine="321" w:firstLineChars="100"/>
        <w:outlineLvl w:val="9"/>
        <w:rPr>
          <w:rFonts w:ascii="Times New Roman" w:hAnsi="Times New Roman" w:eastAsia="仿宋"/>
        </w:rPr>
      </w:pPr>
    </w:p>
    <w:p w14:paraId="62BDA2BE">
      <w:pPr>
        <w:pStyle w:val="18"/>
        <w:ind w:firstLine="321" w:firstLineChars="100"/>
        <w:outlineLvl w:val="9"/>
        <w:rPr>
          <w:rFonts w:ascii="Times New Roman" w:hAnsi="Times New Roman" w:eastAsia="仿宋"/>
        </w:rPr>
      </w:pPr>
    </w:p>
    <w:p w14:paraId="49D03F3F">
      <w:pPr>
        <w:pStyle w:val="18"/>
        <w:ind w:firstLine="321" w:firstLineChars="100"/>
        <w:outlineLvl w:val="9"/>
        <w:rPr>
          <w:rFonts w:ascii="Times New Roman" w:hAnsi="Times New Roman" w:eastAsia="仿宋"/>
        </w:rPr>
      </w:pPr>
    </w:p>
    <w:p w14:paraId="35B8D873">
      <w:pPr>
        <w:pStyle w:val="18"/>
        <w:ind w:firstLine="321" w:firstLineChars="100"/>
        <w:outlineLvl w:val="9"/>
        <w:rPr>
          <w:rFonts w:ascii="Times New Roman" w:hAnsi="Times New Roman" w:eastAsia="仿宋"/>
        </w:rPr>
      </w:pPr>
    </w:p>
    <w:p w14:paraId="60BB6AF7">
      <w:pPr>
        <w:pStyle w:val="18"/>
        <w:jc w:val="both"/>
        <w:outlineLvl w:val="9"/>
        <w:rPr>
          <w:rFonts w:ascii="Times New Roman" w:hAnsi="Times New Roman" w:eastAsia="仿宋"/>
        </w:rPr>
      </w:pPr>
    </w:p>
    <w:bookmarkEnd w:id="164"/>
    <w:bookmarkEnd w:id="165"/>
    <w:p w14:paraId="54A580BE">
      <w:pPr>
        <w:pStyle w:val="28"/>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6" w:name="_Toc5308"/>
      <w:bookmarkStart w:id="167" w:name="_Toc25605"/>
      <w:bookmarkStart w:id="168" w:name="_Toc1334"/>
      <w:bookmarkStart w:id="169" w:name="_Toc10523"/>
      <w:bookmarkStart w:id="170" w:name="_Toc112053981"/>
      <w:bookmarkStart w:id="171" w:name="_Toc14713"/>
      <w:r>
        <w:rPr>
          <w:rFonts w:hint="eastAsia" w:ascii="Times New Roman" w:hAnsi="Times New Roman" w:eastAsia="仿宋" w:cs="Times New Roman"/>
          <w:color w:val="000000"/>
          <w:sz w:val="32"/>
          <w:szCs w:val="32"/>
        </w:rPr>
        <w:t>第五章  采购项目技术、服务、采购合同内容条款及其他商务要求</w:t>
      </w:r>
      <w:bookmarkEnd w:id="166"/>
      <w:bookmarkEnd w:id="167"/>
      <w:bookmarkEnd w:id="168"/>
      <w:bookmarkEnd w:id="169"/>
    </w:p>
    <w:p w14:paraId="4904B1EF">
      <w:pPr>
        <w:pStyle w:val="28"/>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8"/>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2" w:name="_Toc9429"/>
      <w:bookmarkStart w:id="173" w:name="_Toc762"/>
      <w:bookmarkStart w:id="174" w:name="_Toc30171"/>
      <w:r>
        <w:rPr>
          <w:rFonts w:hint="eastAsia" w:ascii="Times New Roman" w:hAnsi="Times New Roman" w:eastAsia="仿宋" w:cs="Times New Roman"/>
          <w:color w:val="000000"/>
          <w:sz w:val="24"/>
          <w:szCs w:val="24"/>
        </w:rPr>
        <w:t>一、项目概述</w:t>
      </w:r>
      <w:bookmarkEnd w:id="172"/>
      <w:bookmarkEnd w:id="173"/>
      <w:bookmarkEnd w:id="174"/>
    </w:p>
    <w:p w14:paraId="54125599">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lang w:eastAsia="zh-CN"/>
        </w:rPr>
      </w:pPr>
      <w:bookmarkStart w:id="175" w:name="_Toc11418"/>
      <w:bookmarkStart w:id="176" w:name="_Toc32526"/>
      <w:bookmarkStart w:id="177" w:name="_Toc8594"/>
      <w:r>
        <w:rPr>
          <w:rFonts w:hint="eastAsia" w:ascii="Times New Roman" w:hAnsi="Times New Roman" w:eastAsia="仿宋" w:cs="Times New Roman"/>
          <w:color w:val="000000"/>
          <w:sz w:val="24"/>
          <w:lang w:val="en-US" w:eastAsia="zh-CN"/>
        </w:rPr>
        <w:t>本项目为1个包，拟采购1名供应商对九寨沟风景名胜区管理局所属辖区内发电机组进行维护保养</w:t>
      </w:r>
      <w:r>
        <w:rPr>
          <w:rFonts w:hint="eastAsia" w:ascii="Times New Roman" w:hAnsi="Times New Roman" w:eastAsia="仿宋" w:cs="Times New Roman"/>
          <w:color w:val="000000"/>
          <w:sz w:val="24"/>
          <w:lang w:eastAsia="zh-CN"/>
        </w:rPr>
        <w:t>。</w:t>
      </w:r>
    </w:p>
    <w:bookmarkEnd w:id="175"/>
    <w:bookmarkEnd w:id="176"/>
    <w:bookmarkEnd w:id="177"/>
    <w:p w14:paraId="74768006">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default" w:ascii="Times New Roman" w:hAnsi="Times New Roman" w:eastAsia="仿宋" w:cs="Times New Roman"/>
          <w:b/>
          <w:bCs/>
          <w:sz w:val="24"/>
          <w:lang w:val="en-US" w:eastAsia="zh-CN"/>
        </w:rPr>
      </w:pPr>
      <w:r>
        <w:rPr>
          <w:rFonts w:hint="eastAsia" w:ascii="Times New Roman" w:hAnsi="Times New Roman" w:eastAsia="仿宋" w:cs="Times New Roman"/>
          <w:b/>
          <w:bCs/>
          <w:sz w:val="24"/>
          <w:lang w:val="en-US" w:eastAsia="zh-CN"/>
        </w:rPr>
        <w:t>*二、项目目标</w:t>
      </w:r>
    </w:p>
    <w:p w14:paraId="6A80083D">
      <w:pPr>
        <w:tabs>
          <w:tab w:val="left" w:pos="851"/>
        </w:tabs>
        <w:adjustRightInd w:val="0"/>
        <w:snapToGrid w:val="0"/>
        <w:spacing w:line="576" w:lineRule="exact"/>
        <w:ind w:firstLine="480"/>
        <w:outlineLvl w:val="0"/>
        <w:rPr>
          <w:rFonts w:hint="eastAsia" w:ascii="Times New Roman" w:hAnsi="Times New Roman" w:eastAsia="仿宋" w:cs="Times New Roman"/>
          <w:b/>
          <w:bCs/>
          <w:color w:val="000000"/>
          <w:sz w:val="24"/>
          <w:szCs w:val="22"/>
        </w:rPr>
      </w:pPr>
      <w:bookmarkStart w:id="178" w:name="_Toc137543714"/>
      <w:r>
        <w:rPr>
          <w:rFonts w:hint="eastAsia" w:ascii="Times New Roman" w:hAnsi="Times New Roman" w:eastAsia="仿宋" w:cs="Times New Roman"/>
          <w:b/>
          <w:bCs/>
          <w:color w:val="000000"/>
          <w:sz w:val="24"/>
          <w:szCs w:val="22"/>
          <w:lang w:eastAsia="zh-CN"/>
        </w:rPr>
        <w:t>（</w:t>
      </w:r>
      <w:r>
        <w:rPr>
          <w:rFonts w:hint="eastAsia" w:ascii="Times New Roman" w:hAnsi="Times New Roman" w:eastAsia="仿宋" w:cs="Times New Roman"/>
          <w:b/>
          <w:bCs/>
          <w:color w:val="000000"/>
          <w:sz w:val="24"/>
          <w:szCs w:val="22"/>
          <w:lang w:val="en-US" w:eastAsia="zh-CN"/>
        </w:rPr>
        <w:t>一</w:t>
      </w:r>
      <w:r>
        <w:rPr>
          <w:rFonts w:hint="eastAsia" w:ascii="Times New Roman" w:hAnsi="Times New Roman" w:eastAsia="仿宋" w:cs="Times New Roman"/>
          <w:b/>
          <w:bCs/>
          <w:color w:val="000000"/>
          <w:sz w:val="24"/>
          <w:szCs w:val="22"/>
          <w:lang w:eastAsia="zh-CN"/>
        </w:rPr>
        <w:t>）</w:t>
      </w:r>
      <w:r>
        <w:rPr>
          <w:rFonts w:hint="eastAsia" w:ascii="Times New Roman" w:hAnsi="Times New Roman" w:eastAsia="仿宋" w:cs="Times New Roman"/>
          <w:b/>
          <w:bCs/>
          <w:color w:val="000000"/>
          <w:sz w:val="24"/>
          <w:szCs w:val="22"/>
        </w:rPr>
        <w:t>技术支持服务目标</w:t>
      </w:r>
      <w:bookmarkEnd w:id="178"/>
    </w:p>
    <w:p w14:paraId="45111327">
      <w:pPr>
        <w:keepNext w:val="0"/>
        <w:keepLines w:val="0"/>
        <w:pageBreakBefore w:val="0"/>
        <w:widowControl/>
        <w:tabs>
          <w:tab w:val="left" w:pos="851"/>
        </w:tabs>
        <w:kinsoku/>
        <w:wordWrap/>
        <w:overflowPunct/>
        <w:topLinePunct w:val="0"/>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i w:val="0"/>
          <w:caps w:val="0"/>
          <w:color w:val="000000"/>
          <w:spacing w:val="0"/>
          <w:sz w:val="24"/>
          <w:szCs w:val="22"/>
          <w:lang w:val="en-US" w:eastAsia="zh-CN"/>
        </w:rPr>
      </w:pPr>
      <w:r>
        <w:rPr>
          <w:rFonts w:hint="eastAsia" w:ascii="Times New Roman" w:hAnsi="Times New Roman" w:eastAsia="仿宋" w:cs="Times New Roman"/>
          <w:i w:val="0"/>
          <w:caps w:val="0"/>
          <w:color w:val="000000"/>
          <w:spacing w:val="0"/>
          <w:sz w:val="24"/>
          <w:szCs w:val="22"/>
          <w:lang w:val="en-US" w:eastAsia="zh-CN"/>
        </w:rPr>
        <w:t>1、承担巡检维保任务，对柴发系统进行定期试运行、安全性检查、年度假负载分功率段测试、定期检查系统各功能之间的配合性。</w:t>
      </w:r>
    </w:p>
    <w:p w14:paraId="736B5286">
      <w:pPr>
        <w:keepNext w:val="0"/>
        <w:keepLines w:val="0"/>
        <w:pageBreakBefore w:val="0"/>
        <w:widowControl/>
        <w:tabs>
          <w:tab w:val="left" w:pos="851"/>
        </w:tabs>
        <w:kinsoku/>
        <w:wordWrap/>
        <w:overflowPunct/>
        <w:topLinePunct w:val="0"/>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i w:val="0"/>
          <w:caps w:val="0"/>
          <w:color w:val="000000"/>
          <w:spacing w:val="0"/>
          <w:sz w:val="24"/>
          <w:szCs w:val="22"/>
          <w:lang w:val="en-US" w:eastAsia="zh-CN"/>
        </w:rPr>
      </w:pPr>
      <w:r>
        <w:rPr>
          <w:rFonts w:hint="eastAsia" w:ascii="Times New Roman" w:hAnsi="Times New Roman" w:eastAsia="仿宋" w:cs="Times New Roman"/>
          <w:i w:val="0"/>
          <w:caps w:val="0"/>
          <w:color w:val="000000"/>
          <w:spacing w:val="0"/>
          <w:sz w:val="24"/>
          <w:szCs w:val="22"/>
          <w:lang w:val="en-US" w:eastAsia="zh-CN"/>
        </w:rPr>
        <w:t>2、建立运维体系，实现人员培养、运行制度、安全监管、系统分析、维护维修、应急处理等全方位管控体系从而保障机房应急保障供电系统长期稳定、安全运行。</w:t>
      </w:r>
    </w:p>
    <w:p w14:paraId="224B1B46">
      <w:pPr>
        <w:tabs>
          <w:tab w:val="left" w:pos="851"/>
        </w:tabs>
        <w:adjustRightInd w:val="0"/>
        <w:snapToGrid w:val="0"/>
        <w:spacing w:line="576" w:lineRule="exact"/>
        <w:ind w:firstLine="480"/>
        <w:outlineLvl w:val="0"/>
        <w:rPr>
          <w:rFonts w:hint="eastAsia" w:ascii="Times New Roman" w:hAnsi="Times New Roman" w:eastAsia="仿宋" w:cs="Times New Roman"/>
          <w:b/>
          <w:bCs/>
          <w:color w:val="000000"/>
          <w:sz w:val="24"/>
          <w:szCs w:val="22"/>
        </w:rPr>
      </w:pPr>
      <w:bookmarkStart w:id="179" w:name="_Toc137543715"/>
      <w:r>
        <w:rPr>
          <w:rFonts w:hint="eastAsia" w:ascii="Times New Roman" w:hAnsi="Times New Roman" w:eastAsia="仿宋" w:cs="Times New Roman"/>
          <w:b/>
          <w:bCs/>
          <w:color w:val="000000"/>
          <w:sz w:val="24"/>
          <w:szCs w:val="22"/>
          <w:lang w:eastAsia="zh-CN"/>
        </w:rPr>
        <w:t>（</w:t>
      </w:r>
      <w:r>
        <w:rPr>
          <w:rFonts w:hint="eastAsia" w:ascii="Times New Roman" w:hAnsi="Times New Roman" w:eastAsia="仿宋" w:cs="Times New Roman"/>
          <w:b/>
          <w:bCs/>
          <w:color w:val="000000"/>
          <w:sz w:val="24"/>
          <w:szCs w:val="22"/>
          <w:lang w:val="en-US" w:eastAsia="zh-CN"/>
        </w:rPr>
        <w:t>二）</w:t>
      </w:r>
      <w:r>
        <w:rPr>
          <w:rFonts w:hint="eastAsia" w:ascii="Times New Roman" w:hAnsi="Times New Roman" w:eastAsia="仿宋" w:cs="Times New Roman"/>
          <w:b/>
          <w:bCs/>
          <w:color w:val="000000"/>
          <w:sz w:val="24"/>
          <w:szCs w:val="22"/>
        </w:rPr>
        <w:t>运维人员培训目标</w:t>
      </w:r>
      <w:bookmarkEnd w:id="179"/>
    </w:p>
    <w:p w14:paraId="49485372">
      <w:pPr>
        <w:keepNext w:val="0"/>
        <w:keepLines w:val="0"/>
        <w:pageBreakBefore w:val="0"/>
        <w:widowControl/>
        <w:tabs>
          <w:tab w:val="left" w:pos="851"/>
        </w:tabs>
        <w:kinsoku/>
        <w:wordWrap/>
        <w:overflowPunct/>
        <w:topLinePunct w:val="0"/>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i w:val="0"/>
          <w:caps w:val="0"/>
          <w:color w:val="000000"/>
          <w:spacing w:val="0"/>
          <w:sz w:val="24"/>
          <w:szCs w:val="22"/>
          <w:lang w:val="en-US" w:eastAsia="zh-CN"/>
        </w:rPr>
      </w:pPr>
      <w:r>
        <w:rPr>
          <w:rFonts w:hint="eastAsia" w:ascii="Times New Roman" w:hAnsi="Times New Roman" w:eastAsia="仿宋" w:cs="Times New Roman"/>
          <w:i w:val="0"/>
          <w:caps w:val="0"/>
          <w:color w:val="000000"/>
          <w:spacing w:val="0"/>
          <w:sz w:val="24"/>
          <w:szCs w:val="22"/>
          <w:lang w:val="en-US" w:eastAsia="zh-CN"/>
        </w:rPr>
        <w:t>供应商拟派的维护人员需具备应急处置能力，并对采购人现场操作人员和管理人员进行现场培训，协助采购人现有工作人员熟悉运维规则及流程、熟悉设备、熟悉系统、培训专业知识，建立所有人员对系统关键设备的认识能力。</w:t>
      </w:r>
    </w:p>
    <w:p w14:paraId="3DB7A1AD">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w:t>
      </w:r>
      <w:r>
        <w:rPr>
          <w:rFonts w:hint="eastAsia" w:ascii="Times New Roman" w:hAnsi="Times New Roman" w:eastAsia="仿宋" w:cs="Times New Roman"/>
          <w:b/>
          <w:bCs/>
          <w:sz w:val="24"/>
          <w:lang w:val="en-US" w:eastAsia="zh-CN"/>
        </w:rPr>
        <w:t>三</w:t>
      </w:r>
      <w:r>
        <w:rPr>
          <w:rFonts w:hint="eastAsia" w:ascii="Times New Roman" w:hAnsi="Times New Roman" w:eastAsia="仿宋" w:cs="Times New Roman"/>
          <w:b/>
          <w:bCs/>
          <w:sz w:val="24"/>
        </w:rPr>
        <w:t>、服务内容</w:t>
      </w:r>
      <w:r>
        <w:rPr>
          <w:rFonts w:hint="eastAsia" w:ascii="Times New Roman" w:hAnsi="Times New Roman" w:eastAsia="仿宋" w:cs="Times New Roman"/>
          <w:b/>
          <w:bCs/>
          <w:sz w:val="24"/>
          <w:lang w:val="en-US" w:eastAsia="zh-CN"/>
        </w:rPr>
        <w:t>及</w:t>
      </w:r>
      <w:r>
        <w:rPr>
          <w:rFonts w:hint="eastAsia" w:ascii="Times New Roman" w:hAnsi="Times New Roman" w:eastAsia="仿宋" w:cs="Times New Roman"/>
          <w:b/>
          <w:bCs/>
          <w:sz w:val="24"/>
        </w:rPr>
        <w:t>服务要求</w:t>
      </w:r>
    </w:p>
    <w:p w14:paraId="684DFC3E">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bidi="ar-SA"/>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bidi="ar-SA"/>
          <w14:textFill>
            <w14:solidFill>
              <w14:schemeClr w14:val="tx1"/>
            </w14:solidFill>
          </w14:textFill>
        </w:rPr>
        <w:t>（一）服务内容</w:t>
      </w:r>
    </w:p>
    <w:p w14:paraId="1659E7B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1、</w:t>
      </w: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对九寨沟管理局所属辖区内22台柴油发电机组、油罐、PLC供油系统、PLC并联管理系统、进排风消音系统、黑烟处理器进行维护保养，保养周期一年</w:t>
      </w: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w:t>
      </w:r>
    </w:p>
    <w:p w14:paraId="2B4F3A28">
      <w:pPr>
        <w:numPr>
          <w:ilvl w:val="0"/>
          <w:numId w:val="0"/>
        </w:numPr>
        <w:spacing w:line="560" w:lineRule="exact"/>
        <w:ind w:firstLine="480" w:firstLineChars="200"/>
        <w:rPr>
          <w:rFonts w:hint="default" w:ascii="Times New Roman" w:hAnsi="Times New Roman" w:eastAsia="方正仿宋_GBK" w:cs="Times New Roman"/>
          <w:sz w:val="24"/>
          <w:szCs w:val="24"/>
        </w:rPr>
      </w:pPr>
      <w:r>
        <w:rPr>
          <w:rFonts w:hint="eastAsia" w:ascii="Times New Roman" w:hAnsi="Times New Roman" w:eastAsia="方正仿宋_GBK" w:cs="Times New Roman"/>
          <w:b w:val="0"/>
          <w:bCs w:val="0"/>
          <w:i w:val="0"/>
          <w:caps w:val="0"/>
          <w:color w:val="000000" w:themeColor="text1"/>
          <w:spacing w:val="0"/>
          <w:sz w:val="24"/>
          <w:szCs w:val="24"/>
          <w:lang w:val="en-US" w:eastAsia="zh-CN"/>
          <w14:textFill>
            <w14:solidFill>
              <w14:schemeClr w14:val="tx1"/>
            </w14:solidFill>
          </w14:textFill>
        </w:rPr>
        <w:t>2、</w:t>
      </w:r>
      <w:r>
        <w:rPr>
          <w:rFonts w:hint="eastAsia" w:ascii="Times New Roman" w:hAnsi="Times New Roman" w:eastAsia="方正仿宋_GBK" w:cs="Times New Roman"/>
          <w:sz w:val="24"/>
          <w:szCs w:val="24"/>
          <w:lang w:val="en-US" w:eastAsia="zh-CN"/>
        </w:rPr>
        <w:t>每年两次</w:t>
      </w:r>
      <w:r>
        <w:rPr>
          <w:rFonts w:hint="default" w:ascii="Times New Roman" w:hAnsi="Times New Roman" w:eastAsia="方正仿宋_GBK" w:cs="Times New Roman"/>
          <w:sz w:val="24"/>
          <w:szCs w:val="24"/>
        </w:rPr>
        <w:t>零部件</w:t>
      </w:r>
      <w:r>
        <w:rPr>
          <w:rFonts w:hint="eastAsia" w:ascii="Times New Roman" w:hAnsi="Times New Roman" w:eastAsia="方正仿宋_GBK" w:cs="Times New Roman"/>
          <w:sz w:val="24"/>
          <w:szCs w:val="24"/>
          <w:lang w:val="en-US" w:eastAsia="zh-CN"/>
        </w:rPr>
        <w:t>维修更换总费用单次不</w:t>
      </w:r>
      <w:r>
        <w:rPr>
          <w:rFonts w:hint="default" w:ascii="Times New Roman" w:hAnsi="Times New Roman" w:eastAsia="方正仿宋_GBK" w:cs="Times New Roman"/>
          <w:sz w:val="24"/>
          <w:szCs w:val="24"/>
        </w:rPr>
        <w:t>超过</w:t>
      </w: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rPr>
        <w:t>00</w:t>
      </w:r>
      <w:r>
        <w:rPr>
          <w:rFonts w:hint="eastAsia" w:ascii="Times New Roman" w:hAnsi="Times New Roman" w:eastAsia="方正仿宋_GBK" w:cs="Times New Roman"/>
          <w:sz w:val="24"/>
          <w:szCs w:val="24"/>
          <w:lang w:val="en-US" w:eastAsia="zh-CN"/>
        </w:rPr>
        <w:t>0</w:t>
      </w:r>
      <w:r>
        <w:rPr>
          <w:rFonts w:hint="default" w:ascii="Times New Roman" w:hAnsi="Times New Roman" w:eastAsia="方正仿宋_GBK" w:cs="Times New Roman"/>
          <w:sz w:val="24"/>
          <w:szCs w:val="24"/>
        </w:rPr>
        <w:t>元</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合计4000元；超过部分</w:t>
      </w:r>
      <w:r>
        <w:rPr>
          <w:rFonts w:hint="default" w:ascii="Times New Roman" w:hAnsi="Times New Roman" w:eastAsia="方正仿宋_GBK" w:cs="Times New Roman"/>
          <w:sz w:val="24"/>
          <w:szCs w:val="24"/>
        </w:rPr>
        <w:t>费用由</w:t>
      </w:r>
      <w:r>
        <w:rPr>
          <w:rFonts w:hint="eastAsia" w:ascii="Times New Roman" w:hAnsi="Times New Roman" w:eastAsia="方正仿宋_GBK" w:cs="Times New Roman"/>
          <w:sz w:val="24"/>
          <w:szCs w:val="24"/>
          <w:lang w:val="en-US" w:eastAsia="zh-CN"/>
        </w:rPr>
        <w:t>采购人承担，采购人购买材料由成交供应商负责安装调试，供应商不得再另行收取费用。</w:t>
      </w:r>
      <w:r>
        <w:rPr>
          <w:rFonts w:hint="default" w:ascii="Times New Roman" w:hAnsi="Times New Roman" w:eastAsia="方正仿宋_GBK" w:cs="Times New Roman"/>
          <w:sz w:val="24"/>
          <w:szCs w:val="24"/>
        </w:rPr>
        <w:t>在维保过程中，必须坚持</w:t>
      </w:r>
      <w:r>
        <w:rPr>
          <w:rFonts w:hint="eastAsia" w:ascii="Times New Roman" w:hAnsi="Times New Roman" w:eastAsia="方正仿宋_GBK" w:cs="Times New Roman"/>
          <w:sz w:val="24"/>
          <w:szCs w:val="24"/>
          <w:lang w:eastAsia="zh-CN"/>
        </w:rPr>
        <w:t>以保</w:t>
      </w:r>
      <w:r>
        <w:rPr>
          <w:rFonts w:hint="default" w:ascii="Times New Roman" w:hAnsi="Times New Roman" w:eastAsia="方正仿宋_GBK" w:cs="Times New Roman"/>
          <w:sz w:val="24"/>
          <w:szCs w:val="24"/>
        </w:rPr>
        <w:t>修为主的原则，确需更换零件时，</w:t>
      </w:r>
      <w:r>
        <w:rPr>
          <w:rFonts w:hint="eastAsia" w:ascii="Times New Roman" w:hAnsi="Times New Roman" w:eastAsia="方正仿宋_GBK" w:cs="Times New Roman"/>
          <w:sz w:val="24"/>
          <w:szCs w:val="24"/>
          <w:lang w:val="en-US" w:eastAsia="zh-CN"/>
        </w:rPr>
        <w:t>中标供应商</w:t>
      </w:r>
      <w:r>
        <w:rPr>
          <w:rFonts w:hint="default" w:ascii="Times New Roman" w:hAnsi="Times New Roman" w:eastAsia="方正仿宋_GBK" w:cs="Times New Roman"/>
          <w:sz w:val="24"/>
          <w:szCs w:val="24"/>
        </w:rPr>
        <w:t>应及时写出书面说明，由双方共同论证确定，待</w:t>
      </w:r>
      <w:r>
        <w:rPr>
          <w:rFonts w:hint="eastAsia" w:ascii="Times New Roman" w:hAnsi="Times New Roman" w:eastAsia="方正仿宋_GBK" w:cs="Times New Roman"/>
          <w:sz w:val="24"/>
          <w:szCs w:val="24"/>
          <w:lang w:val="en-US" w:eastAsia="zh-CN"/>
        </w:rPr>
        <w:t>采购人</w:t>
      </w:r>
      <w:r>
        <w:rPr>
          <w:rFonts w:hint="default" w:ascii="Times New Roman" w:hAnsi="Times New Roman" w:eastAsia="方正仿宋_GBK" w:cs="Times New Roman"/>
          <w:sz w:val="24"/>
          <w:szCs w:val="24"/>
        </w:rPr>
        <w:t xml:space="preserve">认可后方可实施。 </w:t>
      </w:r>
    </w:p>
    <w:p w14:paraId="4A0CBABD">
      <w:pPr>
        <w:numPr>
          <w:ilvl w:val="0"/>
          <w:numId w:val="0"/>
        </w:numPr>
        <w:spacing w:line="560" w:lineRule="exact"/>
        <w:ind w:firstLine="480" w:firstLineChars="200"/>
        <w:rPr>
          <w:rFonts w:hint="default" w:ascii="Times New Roman" w:hAnsi="Times New Roman" w:eastAsia="方正仿宋_GBK" w:cs="Times New Roman"/>
          <w:b w:val="0"/>
          <w:bCs w:val="0"/>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b w:val="0"/>
          <w:bCs w:val="0"/>
          <w:i w:val="0"/>
          <w:caps w:val="0"/>
          <w:color w:val="000000" w:themeColor="text1"/>
          <w:spacing w:val="0"/>
          <w:sz w:val="24"/>
          <w:szCs w:val="24"/>
          <w:lang w:val="en-US" w:eastAsia="zh-CN"/>
          <w14:textFill>
            <w14:solidFill>
              <w14:schemeClr w14:val="tx1"/>
            </w14:solidFill>
          </w14:textFill>
        </w:rPr>
        <w:t>保养服务期间，保养</w:t>
      </w:r>
      <w:r>
        <w:rPr>
          <w:rFonts w:hint="eastAsia" w:ascii="Times New Roman" w:hAnsi="Times New Roman" w:eastAsia="方正仿宋_GBK" w:cs="Times New Roman"/>
          <w:b w:val="0"/>
          <w:bCs w:val="0"/>
          <w:i w:val="0"/>
          <w:caps w:val="0"/>
          <w:color w:val="000000" w:themeColor="text1"/>
          <w:spacing w:val="0"/>
          <w:sz w:val="24"/>
          <w:szCs w:val="24"/>
          <w:lang w:val="en-US" w:eastAsia="zh-CN"/>
          <w14:textFill>
            <w14:solidFill>
              <w14:schemeClr w14:val="tx1"/>
            </w14:solidFill>
          </w14:textFill>
        </w:rPr>
        <w:t>更换的</w:t>
      </w:r>
      <w:r>
        <w:rPr>
          <w:rFonts w:hint="default" w:ascii="Times New Roman" w:hAnsi="Times New Roman" w:eastAsia="方正仿宋_GBK" w:cs="Times New Roman"/>
          <w:b w:val="0"/>
          <w:bCs w:val="0"/>
          <w:i w:val="0"/>
          <w:caps w:val="0"/>
          <w:color w:val="000000" w:themeColor="text1"/>
          <w:spacing w:val="0"/>
          <w:sz w:val="24"/>
          <w:szCs w:val="24"/>
          <w:lang w:val="en-US" w:eastAsia="zh-CN"/>
          <w14:textFill>
            <w14:solidFill>
              <w14:schemeClr w14:val="tx1"/>
            </w14:solidFill>
          </w14:textFill>
        </w:rPr>
        <w:t>耗材材料均需以维保报告的形式报至采购人。</w:t>
      </w:r>
    </w:p>
    <w:p w14:paraId="276B137E">
      <w:pPr>
        <w:numPr>
          <w:ilvl w:val="0"/>
          <w:numId w:val="0"/>
        </w:numPr>
        <w:ind w:firstLine="482" w:firstLineChars="200"/>
        <w:rPr>
          <w:rFonts w:hint="default" w:ascii="Times New Roman" w:hAnsi="Times New Roman" w:eastAsia="宋体" w:cs="Times New Roman"/>
          <w:b/>
          <w:bCs/>
          <w:caps w:val="0"/>
          <w:color w:val="auto"/>
          <w:sz w:val="24"/>
          <w:szCs w:val="24"/>
          <w:vertAlign w:val="baseline"/>
          <w:lang w:val="en-US"/>
        </w:rPr>
      </w:pPr>
      <w:r>
        <w:rPr>
          <w:rFonts w:hint="eastAsia" w:ascii="Times New Roman" w:hAnsi="Times New Roman" w:eastAsia="方正仿宋_GBK" w:cs="Times New Roman"/>
          <w:b/>
          <w:bCs/>
          <w:color w:val="auto"/>
          <w:sz w:val="24"/>
          <w:szCs w:val="24"/>
          <w:lang w:val="en-US" w:eastAsia="zh-CN"/>
        </w:rPr>
        <w:t>保养耗材材料清单如</w:t>
      </w:r>
      <w:r>
        <w:rPr>
          <w:rFonts w:hint="eastAsia" w:ascii="Times New Roman" w:hAnsi="Times New Roman" w:eastAsia="方正仿宋_GBK" w:cs="Times New Roman"/>
          <w:b/>
          <w:bCs/>
          <w:color w:val="auto"/>
          <w:sz w:val="24"/>
          <w:szCs w:val="24"/>
        </w:rPr>
        <w:t>下：</w:t>
      </w:r>
    </w:p>
    <w:tbl>
      <w:tblPr>
        <w:tblStyle w:val="21"/>
        <w:tblW w:w="793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698"/>
        <w:gridCol w:w="2509"/>
        <w:gridCol w:w="2136"/>
        <w:gridCol w:w="1416"/>
        <w:gridCol w:w="1176"/>
      </w:tblGrid>
      <w:tr w14:paraId="7FF2907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tcBorders>
              <w:top w:val="single" w:color="auto" w:sz="4" w:space="0"/>
              <w:left w:val="single" w:color="auto" w:sz="4" w:space="0"/>
              <w:right w:val="single" w:color="auto" w:sz="4" w:space="0"/>
            </w:tcBorders>
            <w:shd w:val="clear" w:color="auto" w:fill="auto"/>
            <w:vAlign w:val="center"/>
          </w:tcPr>
          <w:p w14:paraId="5E0CF51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序号</w:t>
            </w:r>
          </w:p>
        </w:tc>
        <w:tc>
          <w:tcPr>
            <w:tcW w:w="2509" w:type="dxa"/>
            <w:tcBorders>
              <w:top w:val="single" w:color="auto" w:sz="4" w:space="0"/>
              <w:left w:val="single" w:color="auto" w:sz="4" w:space="0"/>
              <w:right w:val="single" w:color="auto" w:sz="4" w:space="0"/>
            </w:tcBorders>
            <w:shd w:val="clear" w:color="auto" w:fill="auto"/>
            <w:vAlign w:val="center"/>
          </w:tcPr>
          <w:p w14:paraId="5467B23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caps w:val="0"/>
                <w:color w:val="auto"/>
                <w:kern w:val="2"/>
                <w:sz w:val="22"/>
                <w:szCs w:val="22"/>
                <w:vertAlign w:val="baseline"/>
                <w:lang w:val="en-US" w:eastAsia="zh-CN" w:bidi="ar"/>
              </w:rPr>
            </w:pPr>
            <w:r>
              <w:rPr>
                <w:rFonts w:hint="default" w:ascii="Times New Roman" w:hAnsi="Times New Roman" w:eastAsia="方正仿宋_GBK" w:cs="Times New Roman"/>
                <w:b/>
                <w:bCs/>
                <w:caps w:val="0"/>
                <w:color w:val="auto"/>
                <w:kern w:val="2"/>
                <w:sz w:val="22"/>
                <w:szCs w:val="22"/>
                <w:vertAlign w:val="baseline"/>
                <w:lang w:val="en-US" w:eastAsia="zh-CN" w:bidi="ar"/>
              </w:rPr>
              <w:t>设备名称及数量</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E6B6A5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caps w:val="0"/>
                <w:color w:val="auto"/>
                <w:sz w:val="22"/>
                <w:szCs w:val="22"/>
                <w:vertAlign w:val="baseline"/>
              </w:rPr>
            </w:pPr>
            <w:r>
              <w:rPr>
                <w:rFonts w:hint="default" w:ascii="Times New Roman" w:hAnsi="Times New Roman" w:eastAsia="方正仿宋_GBK" w:cs="Times New Roman"/>
                <w:b/>
                <w:bCs/>
                <w:caps w:val="0"/>
                <w:color w:val="auto"/>
                <w:kern w:val="2"/>
                <w:sz w:val="22"/>
                <w:szCs w:val="22"/>
                <w:vertAlign w:val="baseline"/>
                <w:lang w:val="en-US" w:eastAsia="zh-CN" w:bidi="ar"/>
              </w:rPr>
              <w:t>配件名称</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CB83BF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caps w:val="0"/>
                <w:color w:val="auto"/>
                <w:sz w:val="22"/>
                <w:szCs w:val="22"/>
                <w:vertAlign w:val="baseline"/>
                <w:lang w:val="en-US"/>
              </w:rPr>
            </w:pPr>
            <w:r>
              <w:rPr>
                <w:rFonts w:hint="default" w:ascii="Times New Roman" w:hAnsi="Times New Roman" w:eastAsia="方正仿宋_GBK" w:cs="Times New Roman"/>
                <w:b/>
                <w:bCs/>
                <w:caps w:val="0"/>
                <w:color w:val="auto"/>
                <w:kern w:val="2"/>
                <w:sz w:val="22"/>
                <w:szCs w:val="22"/>
                <w:vertAlign w:val="baseline"/>
                <w:lang w:val="en-US" w:eastAsia="zh-CN" w:bidi="ar"/>
              </w:rPr>
              <w:t>数量或规格</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D394A1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caps w:val="0"/>
                <w:color w:val="auto"/>
                <w:sz w:val="22"/>
                <w:szCs w:val="22"/>
                <w:vertAlign w:val="baseline"/>
              </w:rPr>
            </w:pPr>
            <w:r>
              <w:rPr>
                <w:rFonts w:hint="default" w:ascii="Times New Roman" w:hAnsi="Times New Roman" w:eastAsia="方正仿宋_GBK" w:cs="Times New Roman"/>
                <w:b/>
                <w:bCs/>
                <w:caps w:val="0"/>
                <w:color w:val="auto"/>
                <w:kern w:val="2"/>
                <w:sz w:val="22"/>
                <w:szCs w:val="22"/>
                <w:vertAlign w:val="baseline"/>
                <w:lang w:val="en-US" w:eastAsia="zh-CN" w:bidi="ar"/>
              </w:rPr>
              <w:t>备 注</w:t>
            </w:r>
          </w:p>
        </w:tc>
      </w:tr>
      <w:tr w14:paraId="1C2DB8F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left w:val="single" w:color="auto" w:sz="4" w:space="0"/>
              <w:right w:val="single" w:color="auto" w:sz="4" w:space="0"/>
            </w:tcBorders>
            <w:shd w:val="clear" w:color="auto" w:fill="auto"/>
            <w:vAlign w:val="center"/>
          </w:tcPr>
          <w:p w14:paraId="00B427F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w:t>
            </w:r>
          </w:p>
        </w:tc>
        <w:tc>
          <w:tcPr>
            <w:tcW w:w="2509" w:type="dxa"/>
            <w:vMerge w:val="restart"/>
            <w:tcBorders>
              <w:left w:val="single" w:color="auto" w:sz="4" w:space="0"/>
              <w:right w:val="single" w:color="auto" w:sz="4" w:space="0"/>
            </w:tcBorders>
            <w:shd w:val="clear" w:color="auto" w:fill="auto"/>
            <w:vAlign w:val="center"/>
          </w:tcPr>
          <w:p w14:paraId="768E73F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威尔信P1100E1:1台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EDE126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8096AF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12F092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362691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3839265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1AEAD53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4EACF80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4DEC5AD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AD770E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79A421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56D065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B04BB7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A8B1EA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DDB2C6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50FD31D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4E9E2E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222084A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0A509E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4ED7DEF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C41DF0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180升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A5649E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4D0580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33780D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20304C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D894B8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176705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180升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D905CF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1B59B6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restart"/>
            <w:tcBorders>
              <w:left w:val="single" w:color="auto" w:sz="4" w:space="0"/>
              <w:right w:val="single" w:color="auto" w:sz="4" w:space="0"/>
            </w:tcBorders>
            <w:shd w:val="clear" w:color="auto" w:fill="auto"/>
            <w:vAlign w:val="center"/>
          </w:tcPr>
          <w:p w14:paraId="430AA2F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2</w:t>
            </w:r>
          </w:p>
        </w:tc>
        <w:tc>
          <w:tcPr>
            <w:tcW w:w="2509" w:type="dxa"/>
            <w:vMerge w:val="restart"/>
            <w:tcBorders>
              <w:left w:val="single" w:color="auto" w:sz="4" w:space="0"/>
              <w:right w:val="single" w:color="auto" w:sz="4" w:space="0"/>
            </w:tcBorders>
            <w:shd w:val="clear" w:color="auto" w:fill="auto"/>
            <w:vAlign w:val="center"/>
          </w:tcPr>
          <w:p w14:paraId="482728B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威尔信P150E：1台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14E6C9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317907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F34762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38E146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0B82BF2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D7CC1B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5BA202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433B04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209F9A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5D3737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9B955B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2158CC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68784F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EF65F3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529BF8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2AFC624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8EB4DA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4040E1E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1FBC79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油水分离器</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199A53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9B6A5C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363CAF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3B6E31B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B63C71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45A6D7B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C61736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28升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B5CDEA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182CA4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AAE9D2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D42CE2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B25C22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11E67A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40升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8BA0DB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F8C33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2E972AD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3</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2C63B24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1800</w:t>
            </w:r>
            <w:r>
              <w:rPr>
                <w:rFonts w:hint="eastAsia" w:ascii="Times New Roman" w:hAnsi="Times New Roman" w:eastAsia="方正仿宋_GBK" w:cs="Times New Roman"/>
                <w:b/>
                <w:bCs w:val="0"/>
                <w:caps w:val="0"/>
                <w:color w:val="auto"/>
                <w:kern w:val="2"/>
                <w:sz w:val="22"/>
                <w:szCs w:val="22"/>
                <w:vertAlign w:val="baseline"/>
                <w:lang w:val="en-US" w:eastAsia="zh-CN" w:bidi="ar"/>
              </w:rPr>
              <w:t>kW</w:t>
            </w:r>
            <w:r>
              <w:rPr>
                <w:rFonts w:hint="default" w:ascii="Times New Roman" w:hAnsi="Times New Roman" w:eastAsia="方正仿宋_GBK" w:cs="Times New Roman"/>
                <w:b/>
                <w:bCs w:val="0"/>
                <w:caps w:val="0"/>
                <w:color w:val="auto"/>
                <w:kern w:val="2"/>
                <w:sz w:val="22"/>
                <w:szCs w:val="22"/>
                <w:vertAlign w:val="baseline"/>
                <w:lang w:val="en-US" w:eastAsia="zh-CN" w:bidi="ar"/>
              </w:rPr>
              <w:t>康明斯：1台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83E38F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507B86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4个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7B6CE2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2F1AA13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29D3C49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76727A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A25F0F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7473D2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4BFCBE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19B5E2A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6FEC542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03A6E62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84C557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4D45847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77D870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3D8E01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500D26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8851E9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94794D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210857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4个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A11600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2873DA2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672F1B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A5A3AB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3AD660D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09484A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378升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A9EB83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E9C7F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3855D09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698EA69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4FF7E65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4197CC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420升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8C8A37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59B9EA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6B118CD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4</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5800C28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400</w:t>
            </w:r>
            <w:r>
              <w:rPr>
                <w:rFonts w:hint="eastAsia" w:ascii="Times New Roman" w:hAnsi="Times New Roman" w:eastAsia="方正仿宋_GBK" w:cs="Times New Roman"/>
                <w:b/>
                <w:bCs w:val="0"/>
                <w:caps w:val="0"/>
                <w:color w:val="auto"/>
                <w:kern w:val="2"/>
                <w:sz w:val="22"/>
                <w:szCs w:val="22"/>
                <w:vertAlign w:val="baseline"/>
                <w:lang w:val="en-US" w:eastAsia="zh-CN" w:bidi="ar"/>
              </w:rPr>
              <w:t>kW</w:t>
            </w:r>
            <w:r>
              <w:rPr>
                <w:rFonts w:hint="default" w:ascii="Times New Roman" w:hAnsi="Times New Roman" w:eastAsia="方正仿宋_GBK" w:cs="Times New Roman"/>
                <w:b/>
                <w:bCs w:val="0"/>
                <w:caps w:val="0"/>
                <w:color w:val="auto"/>
                <w:kern w:val="2"/>
                <w:sz w:val="22"/>
                <w:szCs w:val="22"/>
                <w:vertAlign w:val="baseline"/>
                <w:lang w:val="en-US" w:eastAsia="zh-CN" w:bidi="ar"/>
              </w:rPr>
              <w:t>玉柴：1台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C6F7F6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82487F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B1BEE2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74C752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9AB809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043A090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7BBA45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96785E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CB55B4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6183C8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0EA9E30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1F8AC5E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2542824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4608B97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1D89DD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510259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3285B7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F12CEA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F641E5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B066E1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72升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B20E9A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274AEE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BB2C94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F4B6D3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2C2050D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A0AC1A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96升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DF387D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085C4E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309FF1F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5</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4E29E2E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500KW玉柴：1台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B6BF32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F8F6A9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432E75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5458E7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747D34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123A65F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88D318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AD7850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1D81BF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78E95BE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25CDBC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02FA592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13B851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7BE209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54EF763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4060AD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2EE4A38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3741BF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E07B23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729B60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72升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146690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38A36AE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03834E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197C1ED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393B23A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774C57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96升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CAFF28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D1AF58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1293681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6</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13E3453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MD300GFS：1台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290BD4B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C2CB66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6EFEB4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124267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2A25BAB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D63EF9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995A98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7AF124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9C6FDF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6EFD4AB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55202CD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4D84BAD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451414E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5633B7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7318AC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2B8D886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95185C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8AE2F9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27E249F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7A2BE30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40升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05A88C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CA92D8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3A094D1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0BD704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643DFB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DCBBDA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54升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E6A78B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69538E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442BD87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7</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65F48D5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MD200GFS：4台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1A35AB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21548D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B2D41E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64A6F0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095DD1F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7EABFB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A01287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EB409D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4F484D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1CD65FC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81C31E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11DC6F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B54D71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44D883E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B4F40D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433EA8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5DB6589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10CDEB9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25521B9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72DE0E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DA6E71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5FAC0B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1D45A7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5A762B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93AE1E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77C62F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54升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1AF002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367E15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6ED8272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8</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0CE99F1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MD150GFS：1台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0E562B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BD69E3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C8A1CD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E767D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5A4E9FDB">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4AECED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C5913D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94505F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963DFE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694785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674DEB8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540B59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F55B02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4B8ABA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F1DE80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7472063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514D16E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8502C5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145C20D">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A2BF6E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CED46F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23127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086DF4C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DC0973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3B607B3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B0D72D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54升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C9DF7E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60F193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255C98D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9</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033CABE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MD100GFS：6台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798E02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5772866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20E1496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0338E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40AAD12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0A8F340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1CD24C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155408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5A833F6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EDC52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69608A2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13D451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EE71F3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8A74F4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D74747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4E0D4E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6125EE4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77EC01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3BAA03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6FDD5E2">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30升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AF815E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1AB1C5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6F39E82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7F57379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949CF4C">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DD7A84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36升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755A37E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651F68D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restart"/>
            <w:tcBorders>
              <w:top w:val="single" w:color="auto" w:sz="4" w:space="0"/>
              <w:left w:val="single" w:color="auto" w:sz="4" w:space="0"/>
              <w:right w:val="single" w:color="auto" w:sz="4" w:space="0"/>
            </w:tcBorders>
            <w:shd w:val="clear" w:color="auto" w:fill="auto"/>
            <w:vAlign w:val="center"/>
          </w:tcPr>
          <w:p w14:paraId="2305095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10</w:t>
            </w:r>
          </w:p>
        </w:tc>
        <w:tc>
          <w:tcPr>
            <w:tcW w:w="2509" w:type="dxa"/>
            <w:vMerge w:val="restart"/>
            <w:tcBorders>
              <w:top w:val="single" w:color="auto" w:sz="4" w:space="0"/>
              <w:left w:val="single" w:color="auto" w:sz="4" w:space="0"/>
              <w:right w:val="single" w:color="auto" w:sz="4" w:space="0"/>
            </w:tcBorders>
            <w:shd w:val="clear" w:color="auto" w:fill="auto"/>
            <w:vAlign w:val="center"/>
          </w:tcPr>
          <w:p w14:paraId="2DE309E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bCs w:val="0"/>
                <w:caps w:val="0"/>
                <w:color w:val="auto"/>
                <w:kern w:val="2"/>
                <w:sz w:val="22"/>
                <w:szCs w:val="22"/>
                <w:vertAlign w:val="baseline"/>
                <w:lang w:val="en-US" w:eastAsia="zh-CN" w:bidi="ar"/>
              </w:rPr>
              <w:t>MD50GFS：5台</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70766FD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154E1E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E89DEF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6D54B6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4C4E01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0823D070">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7C4B49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柴滤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6D12E2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A6E249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0A1D57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1C2197D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2E0C1E59">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BFE2A2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机滤</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8AA29F8">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06BF045">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原厂配件</w:t>
            </w:r>
          </w:p>
        </w:tc>
      </w:tr>
      <w:tr w14:paraId="42AFF8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3AB6B1C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361BF47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3244C70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机油</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8200663">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15升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7E9509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1E20670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698" w:type="dxa"/>
            <w:vMerge w:val="continue"/>
            <w:tcBorders>
              <w:left w:val="single" w:color="auto" w:sz="4" w:space="0"/>
              <w:right w:val="single" w:color="auto" w:sz="4" w:space="0"/>
            </w:tcBorders>
            <w:shd w:val="clear" w:color="auto" w:fill="auto"/>
            <w:vAlign w:val="center"/>
          </w:tcPr>
          <w:p w14:paraId="726DB2A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509" w:type="dxa"/>
            <w:vMerge w:val="continue"/>
            <w:tcBorders>
              <w:left w:val="single" w:color="auto" w:sz="4" w:space="0"/>
              <w:right w:val="single" w:color="auto" w:sz="4" w:space="0"/>
            </w:tcBorders>
            <w:shd w:val="clear" w:color="auto" w:fill="auto"/>
            <w:vAlign w:val="center"/>
          </w:tcPr>
          <w:p w14:paraId="5426258E">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5A4E71D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防冻液</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72F364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lang w:val="en-US" w:eastAsia="zh-CN"/>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36升</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709FEC6">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right="0" w:firstLine="0"/>
              <w:jc w:val="center"/>
              <w:outlineLvl w:val="9"/>
              <w:rPr>
                <w:rFonts w:hint="default" w:ascii="Times New Roman" w:hAnsi="Times New Roman" w:eastAsia="方正仿宋_GBK" w:cs="Times New Roman"/>
                <w:caps w:val="0"/>
                <w:color w:val="auto"/>
                <w:sz w:val="22"/>
                <w:szCs w:val="22"/>
                <w:vertAlign w:val="baseline"/>
              </w:rPr>
            </w:pPr>
          </w:p>
        </w:tc>
      </w:tr>
      <w:tr w14:paraId="34DF06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698" w:type="dxa"/>
            <w:tcBorders>
              <w:left w:val="single" w:color="auto" w:sz="4" w:space="0"/>
              <w:bottom w:val="single" w:color="auto" w:sz="4" w:space="0"/>
              <w:right w:val="single" w:color="auto" w:sz="4" w:space="0"/>
            </w:tcBorders>
            <w:shd w:val="clear" w:color="auto" w:fill="auto"/>
            <w:vAlign w:val="center"/>
          </w:tcPr>
          <w:p w14:paraId="1605629F">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leftChars="0" w:right="0" w:rightChars="0" w:firstLine="0" w:firstLineChars="0"/>
              <w:jc w:val="center"/>
              <w:outlineLvl w:val="9"/>
              <w:rPr>
                <w:rFonts w:hint="default" w:ascii="Times New Roman" w:hAnsi="Times New Roman" w:eastAsia="方正仿宋_GBK" w:cs="Times New Roman"/>
                <w:b/>
                <w:bCs/>
                <w:sz w:val="22"/>
                <w:szCs w:val="22"/>
                <w:lang w:val="en-US" w:eastAsia="zh-CN"/>
              </w:rPr>
            </w:pPr>
            <w:r>
              <w:rPr>
                <w:rFonts w:hint="default" w:ascii="Times New Roman" w:hAnsi="Times New Roman" w:eastAsia="方正仿宋_GBK" w:cs="Times New Roman"/>
                <w:b/>
                <w:bCs/>
                <w:sz w:val="22"/>
                <w:szCs w:val="22"/>
                <w:lang w:val="en-US" w:eastAsia="zh-CN"/>
              </w:rPr>
              <w:t>11</w:t>
            </w:r>
          </w:p>
        </w:tc>
        <w:tc>
          <w:tcPr>
            <w:tcW w:w="2509" w:type="dxa"/>
            <w:tcBorders>
              <w:left w:val="single" w:color="auto" w:sz="4" w:space="0"/>
              <w:bottom w:val="single" w:color="auto" w:sz="4" w:space="0"/>
              <w:right w:val="single" w:color="auto" w:sz="4" w:space="0"/>
            </w:tcBorders>
            <w:shd w:val="clear" w:color="auto" w:fill="auto"/>
            <w:vAlign w:val="center"/>
          </w:tcPr>
          <w:p w14:paraId="62C7134A">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leftChars="0" w:right="0" w:rightChars="0" w:firstLine="0" w:firstLineChars="0"/>
              <w:jc w:val="center"/>
              <w:outlineLvl w:val="9"/>
              <w:rPr>
                <w:rFonts w:hint="default" w:ascii="Times New Roman" w:hAnsi="Times New Roman" w:eastAsia="方正仿宋_GBK" w:cs="Times New Roman"/>
                <w:b w:val="0"/>
                <w:bCs w:val="0"/>
                <w:caps w:val="0"/>
                <w:color w:val="000000"/>
                <w:kern w:val="0"/>
                <w:sz w:val="22"/>
                <w:szCs w:val="22"/>
                <w:vertAlign w:val="baseline"/>
                <w:lang w:val="en-US" w:eastAsia="zh-CN" w:bidi="ar"/>
              </w:rPr>
            </w:pPr>
            <w:r>
              <w:rPr>
                <w:rFonts w:hint="default" w:ascii="Times New Roman" w:hAnsi="Times New Roman" w:eastAsia="方正仿宋_GBK" w:cs="Times New Roman"/>
                <w:b/>
                <w:bCs/>
                <w:sz w:val="22"/>
                <w:szCs w:val="22"/>
                <w:lang w:val="en-US" w:eastAsia="zh-CN"/>
              </w:rPr>
              <w:t>储油罐：2个</w:t>
            </w:r>
          </w:p>
        </w:tc>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628DBCC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leftChars="0" w:right="0" w:rightChars="0" w:firstLine="0" w:firstLineChars="0"/>
              <w:jc w:val="center"/>
              <w:outlineLvl w:val="9"/>
              <w:rPr>
                <w:rFonts w:hint="default" w:ascii="Times New Roman" w:hAnsi="Times New Roman" w:eastAsia="方正仿宋_GBK" w:cs="Times New Roman"/>
                <w:b w:val="0"/>
                <w:bCs w:val="0"/>
                <w:caps w:val="0"/>
                <w:color w:val="000000"/>
                <w:kern w:val="0"/>
                <w:sz w:val="22"/>
                <w:szCs w:val="22"/>
                <w:vertAlign w:val="baseline"/>
                <w:lang w:val="en-US" w:eastAsia="zh-CN" w:bidi="ar"/>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地埋储油罐</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38757F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leftChars="0" w:right="0" w:rightChars="0" w:firstLine="0" w:firstLineChars="0"/>
              <w:jc w:val="center"/>
              <w:outlineLvl w:val="9"/>
              <w:rPr>
                <w:rFonts w:hint="default" w:ascii="Times New Roman" w:hAnsi="Times New Roman" w:eastAsia="方正仿宋_GBK" w:cs="Times New Roman"/>
                <w:b w:val="0"/>
                <w:bCs w:val="0"/>
                <w:caps w:val="0"/>
                <w:color w:val="auto"/>
                <w:kern w:val="2"/>
                <w:sz w:val="22"/>
                <w:szCs w:val="22"/>
                <w:vertAlign w:val="baseline"/>
                <w:lang w:val="en-US" w:eastAsia="zh-CN" w:bidi="ar"/>
              </w:rPr>
            </w:pPr>
            <w:r>
              <w:rPr>
                <w:rFonts w:hint="default" w:ascii="Times New Roman" w:hAnsi="Times New Roman" w:eastAsia="方正仿宋_GBK" w:cs="Times New Roman"/>
                <w:b w:val="0"/>
                <w:bCs w:val="0"/>
                <w:caps w:val="0"/>
                <w:color w:val="auto"/>
                <w:kern w:val="2"/>
                <w:sz w:val="22"/>
                <w:szCs w:val="22"/>
                <w:vertAlign w:val="baseline"/>
                <w:lang w:val="en-US" w:eastAsia="zh-CN" w:bidi="ar"/>
              </w:rPr>
              <w:t>2个</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328EC177">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440" w:lineRule="exact"/>
              <w:ind w:left="0" w:leftChars="0" w:right="0" w:rightChars="0" w:firstLine="0" w:firstLineChars="0"/>
              <w:jc w:val="center"/>
              <w:outlineLvl w:val="9"/>
              <w:rPr>
                <w:rFonts w:hint="default" w:ascii="Times New Roman" w:hAnsi="Times New Roman" w:eastAsia="方正仿宋_GBK" w:cs="Times New Roman"/>
                <w:caps w:val="0"/>
                <w:color w:val="auto"/>
                <w:sz w:val="22"/>
                <w:szCs w:val="22"/>
                <w:vertAlign w:val="baseline"/>
              </w:rPr>
            </w:pPr>
            <w:r>
              <w:rPr>
                <w:rFonts w:hint="default" w:ascii="Times New Roman" w:hAnsi="Times New Roman" w:eastAsia="方正仿宋_GBK" w:cs="Times New Roman"/>
                <w:caps w:val="0"/>
                <w:color w:val="auto"/>
                <w:sz w:val="22"/>
                <w:szCs w:val="22"/>
                <w:vertAlign w:val="baseline"/>
                <w:lang w:val="en-US" w:eastAsia="zh-CN"/>
              </w:rPr>
              <w:t>柴油</w:t>
            </w:r>
          </w:p>
        </w:tc>
      </w:tr>
    </w:tbl>
    <w:p w14:paraId="64BF10D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3、</w:t>
      </w: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每月对柴油发电机组进行例行检查、调整，确保发电机组在最佳状态下运行。</w:t>
      </w:r>
    </w:p>
    <w:p w14:paraId="3AB42362">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4</w:t>
      </w: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、检查添加</w:t>
      </w:r>
    </w:p>
    <w:p w14:paraId="7F72D8C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（1）运行机组，检查空载或带载时机组的电压、电流、油压、水温、频率等参数是否正常。</w:t>
      </w:r>
    </w:p>
    <w:p w14:paraId="6B0C2CBD">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（2）检查机组水箱防冻液是否缺液。</w:t>
      </w:r>
    </w:p>
    <w:p w14:paraId="2C5116D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（3）检查排气系统</w:t>
      </w: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w:t>
      </w:r>
    </w:p>
    <w:p w14:paraId="0DEEB4E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①检查波纹管连接及工作状况；</w:t>
      </w:r>
    </w:p>
    <w:p w14:paraId="2E21399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②排气波纹管是否存在裂纹漏烟，如有则进行更换处理。</w:t>
      </w:r>
    </w:p>
    <w:p w14:paraId="3E151C4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（4）检查电气系统：</w:t>
      </w:r>
    </w:p>
    <w:p w14:paraId="562D4FB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①检查电气控制柜工作运行情况，如有异常进行维护处理；</w:t>
      </w:r>
    </w:p>
    <w:p w14:paraId="33C1E776">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②检查出线电缆与机组空开的连接情况。</w:t>
      </w:r>
    </w:p>
    <w:p w14:paraId="231E9F6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（5）检查机组机油、柴油的油量。</w:t>
      </w:r>
    </w:p>
    <w:p w14:paraId="1DA097F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（6）检查机组全部皮带有</w:t>
      </w: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无</w:t>
      </w: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损坏及松紧度。</w:t>
      </w:r>
    </w:p>
    <w:p w14:paraId="7357D1F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（7）检查空气滤清器指示器是否需要更换。</w:t>
      </w:r>
    </w:p>
    <w:p w14:paraId="0D6B7F1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（8）排放初级柴油滤清器内</w:t>
      </w:r>
      <w:r>
        <w:rPr>
          <w:rFonts w:hint="eastAsia"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水分及</w:t>
      </w: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沉淀物。</w:t>
      </w:r>
    </w:p>
    <w:p w14:paraId="5605B68D">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（9）检查蓄电池、充电机电压是否正常，极柱和电池卡头连接情况是否正常。</w:t>
      </w:r>
    </w:p>
    <w:p w14:paraId="2EB0ACE7">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（10）检查机组控制箱内的电源线的连接是否松动。</w:t>
      </w:r>
    </w:p>
    <w:p w14:paraId="77C1632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（11）检查机组输出开关有无异常。</w:t>
      </w:r>
    </w:p>
    <w:p w14:paraId="7C4155D6">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pPr>
      <w:r>
        <w:rPr>
          <w:rFonts w:hint="default" w:ascii="Times New Roman" w:hAnsi="Times New Roman" w:eastAsia="方正仿宋_GBK" w:cs="Times New Roman"/>
          <w:i w:val="0"/>
          <w:caps w:val="0"/>
          <w:color w:val="000000" w:themeColor="text1"/>
          <w:spacing w:val="0"/>
          <w:sz w:val="24"/>
          <w:szCs w:val="24"/>
          <w:lang w:val="en-US" w:eastAsia="zh-CN"/>
          <w14:textFill>
            <w14:solidFill>
              <w14:schemeClr w14:val="tx1"/>
            </w14:solidFill>
          </w14:textFill>
        </w:rPr>
        <w:t>（12）填好发电机组巡检运行登记表。</w:t>
      </w:r>
    </w:p>
    <w:p w14:paraId="2BC9682D">
      <w:pPr>
        <w:numPr>
          <w:ilvl w:val="0"/>
          <w:numId w:val="0"/>
        </w:numPr>
        <w:tabs>
          <w:tab w:val="left" w:pos="0"/>
        </w:tabs>
        <w:spacing w:line="560" w:lineRule="exact"/>
        <w:ind w:firstLine="482" w:firstLineChars="200"/>
        <w:rPr>
          <w:rFonts w:hint="default" w:ascii="Times New Roman" w:hAnsi="Times New Roman" w:eastAsia="方正仿宋_GBK" w:cs="Times New Roman"/>
          <w:b/>
          <w:bCs/>
          <w:sz w:val="24"/>
          <w:szCs w:val="24"/>
          <w:lang w:val="en-US" w:eastAsia="zh-CN"/>
        </w:rPr>
      </w:pPr>
      <w:bookmarkStart w:id="180" w:name="_Hlk131584928"/>
      <w:r>
        <w:rPr>
          <w:rFonts w:hint="default" w:ascii="Times New Roman" w:hAnsi="Times New Roman" w:eastAsia="方正仿宋_GBK" w:cs="Times New Roman"/>
          <w:b/>
          <w:bCs/>
          <w:sz w:val="24"/>
          <w:szCs w:val="24"/>
          <w:lang w:val="en-US" w:eastAsia="zh-CN"/>
        </w:rPr>
        <w:t>（二）保养材料要求</w:t>
      </w:r>
    </w:p>
    <w:p w14:paraId="56AB8927">
      <w:pPr>
        <w:numPr>
          <w:ilvl w:val="0"/>
          <w:numId w:val="0"/>
        </w:numPr>
        <w:tabs>
          <w:tab w:val="left" w:pos="0"/>
        </w:tabs>
        <w:spacing w:line="560" w:lineRule="exact"/>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1、</w:t>
      </w:r>
      <w:r>
        <w:rPr>
          <w:rFonts w:hint="default" w:ascii="Times New Roman" w:hAnsi="Times New Roman" w:eastAsia="方正仿宋_GBK" w:cs="Times New Roman"/>
          <w:b/>
          <w:bCs/>
          <w:sz w:val="24"/>
          <w:szCs w:val="24"/>
        </w:rPr>
        <w:t>防冻液</w:t>
      </w:r>
    </w:p>
    <w:p w14:paraId="09B04545">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所使用防冻液冰点达到-35℃，推荐使用长城、统一、昆仑或同品质防冻液。防冻液对冷却系统的部件起到防腐保护作用，防止水垢，避免降低散热器的散热作用，保证发动机在正常温度内正常运行。具有夏季防沸、冬季防冻、全年防腐蚀、防锈、阻垢、无毒、低温流动性好，适合常年使用的功能。</w:t>
      </w:r>
    </w:p>
    <w:p w14:paraId="2016FFC6">
      <w:pPr>
        <w:numPr>
          <w:ilvl w:val="0"/>
          <w:numId w:val="0"/>
        </w:numPr>
        <w:tabs>
          <w:tab w:val="left" w:pos="0"/>
        </w:tabs>
        <w:spacing w:line="560" w:lineRule="exact"/>
        <w:ind w:left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2、</w:t>
      </w:r>
      <w:r>
        <w:rPr>
          <w:rFonts w:hint="default" w:ascii="Times New Roman" w:hAnsi="Times New Roman" w:eastAsia="方正仿宋_GBK" w:cs="Times New Roman"/>
          <w:b/>
          <w:bCs/>
          <w:sz w:val="24"/>
          <w:szCs w:val="24"/>
        </w:rPr>
        <w:t>更换使用防冻液要求</w:t>
      </w:r>
    </w:p>
    <w:p w14:paraId="4A9C5ABE">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更换防冻液尽量使用原来使用过的同一品牌型号规格防冻液，若使用不同品牌防冻液，尽量将原防冻液彻底放干净，并对冷却系统进行一次彻底的清洗。维保服务方将更换过后的防冻液废液进行安全环保处理。</w:t>
      </w:r>
    </w:p>
    <w:p w14:paraId="38372897">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2</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添加前对冷却系统进行检查，若有渗漏现象，应及时排出后才能使用防冻液。</w:t>
      </w:r>
    </w:p>
    <w:p w14:paraId="267E493F">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3</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未用完的防冻液应装入塑料容器存放，当防冻液缺少时可补加，严禁加水或不同型号防冻液以免冻坏发动机和水箱。</w:t>
      </w:r>
    </w:p>
    <w:p w14:paraId="078F868C">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4</w:t>
      </w:r>
      <w:r>
        <w:rPr>
          <w:rFonts w:hint="default"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每次更换防冻液后5日内需向采购人出具维保报告，</w:t>
      </w:r>
      <w:r>
        <w:rPr>
          <w:rFonts w:hint="default" w:ascii="Times New Roman" w:hAnsi="Times New Roman" w:eastAsia="方正仿宋_GBK" w:cs="Times New Roman"/>
          <w:sz w:val="24"/>
          <w:szCs w:val="24"/>
        </w:rPr>
        <w:t>维保报告列出更换防冻液品牌及用量。</w:t>
      </w:r>
    </w:p>
    <w:p w14:paraId="38080A03">
      <w:pPr>
        <w:numPr>
          <w:ilvl w:val="0"/>
          <w:numId w:val="0"/>
        </w:numPr>
        <w:tabs>
          <w:tab w:val="left" w:pos="0"/>
        </w:tabs>
        <w:spacing w:line="560" w:lineRule="exact"/>
        <w:ind w:left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3、</w:t>
      </w:r>
      <w:r>
        <w:rPr>
          <w:rFonts w:hint="default" w:ascii="Times New Roman" w:hAnsi="Times New Roman" w:eastAsia="方正仿宋_GBK" w:cs="Times New Roman"/>
          <w:b/>
          <w:bCs/>
          <w:sz w:val="24"/>
          <w:szCs w:val="24"/>
        </w:rPr>
        <w:t>机油</w:t>
      </w:r>
    </w:p>
    <w:p w14:paraId="6949C0DB">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机油使用规格型号为15W-40，CF级全合成机油，</w:t>
      </w:r>
      <w:r>
        <w:rPr>
          <w:rFonts w:hint="eastAsia" w:ascii="Times New Roman" w:hAnsi="Times New Roman" w:eastAsia="方正仿宋_GBK" w:cs="Times New Roman"/>
          <w:sz w:val="24"/>
          <w:szCs w:val="24"/>
          <w:lang w:val="en-US" w:eastAsia="zh-CN"/>
        </w:rPr>
        <w:t>供应商</w:t>
      </w:r>
      <w:r>
        <w:rPr>
          <w:rFonts w:hint="eastAsia" w:ascii="Times New Roman" w:hAnsi="Times New Roman" w:eastAsia="方正仿宋_GBK" w:cs="Times New Roman"/>
          <w:sz w:val="24"/>
          <w:szCs w:val="24"/>
          <w:lang w:eastAsia="zh-CN"/>
        </w:rPr>
        <w:t>需</w:t>
      </w:r>
      <w:r>
        <w:rPr>
          <w:rFonts w:hint="eastAsia" w:ascii="Times New Roman" w:hAnsi="Times New Roman" w:eastAsia="方正仿宋_GBK" w:cs="Times New Roman"/>
          <w:sz w:val="24"/>
          <w:szCs w:val="24"/>
          <w:lang w:val="en-US" w:eastAsia="zh-CN"/>
        </w:rPr>
        <w:t>选择</w:t>
      </w:r>
      <w:r>
        <w:rPr>
          <w:rFonts w:hint="default" w:ascii="Times New Roman" w:hAnsi="Times New Roman" w:eastAsia="方正仿宋_GBK" w:cs="Times New Roman"/>
          <w:sz w:val="24"/>
          <w:szCs w:val="24"/>
        </w:rPr>
        <w:t>大多数重负荷发动机制造商推荐品牌</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推荐使用长城</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统一、昆仑或同品质</w:t>
      </w:r>
      <w:r>
        <w:rPr>
          <w:rFonts w:hint="default" w:ascii="Times New Roman" w:hAnsi="Times New Roman" w:eastAsia="方正仿宋_GBK" w:cs="Times New Roman"/>
          <w:sz w:val="24"/>
          <w:szCs w:val="24"/>
        </w:rPr>
        <w:t>机油。所使用机油应</w:t>
      </w:r>
      <w:r>
        <w:rPr>
          <w:rFonts w:hint="eastAsia" w:ascii="Times New Roman" w:hAnsi="Times New Roman" w:eastAsia="方正仿宋_GBK" w:cs="Times New Roman"/>
          <w:sz w:val="24"/>
          <w:szCs w:val="24"/>
          <w:lang w:val="en-US" w:eastAsia="zh-CN"/>
        </w:rPr>
        <w:t>满足以下功能</w:t>
      </w:r>
      <w:r>
        <w:rPr>
          <w:rFonts w:hint="default" w:ascii="Times New Roman" w:hAnsi="Times New Roman" w:eastAsia="方正仿宋_GBK" w:cs="Times New Roman"/>
          <w:sz w:val="24"/>
          <w:szCs w:val="24"/>
        </w:rPr>
        <w:t>：全年使用，延长发动机寿命，减少磨损（减少冷启动引起的磨损）；提高燃油经济性；降低润滑油消耗；提供良好低温润滑性；更长的换油期等作用。</w:t>
      </w:r>
    </w:p>
    <w:p w14:paraId="5DD13945">
      <w:pPr>
        <w:numPr>
          <w:ilvl w:val="0"/>
          <w:numId w:val="0"/>
        </w:numPr>
        <w:tabs>
          <w:tab w:val="left" w:pos="0"/>
        </w:tabs>
        <w:spacing w:line="560" w:lineRule="exact"/>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4、</w:t>
      </w:r>
      <w:r>
        <w:rPr>
          <w:rFonts w:hint="default" w:ascii="Times New Roman" w:hAnsi="Times New Roman" w:eastAsia="方正仿宋_GBK" w:cs="Times New Roman"/>
          <w:b/>
          <w:bCs/>
          <w:sz w:val="24"/>
          <w:szCs w:val="24"/>
        </w:rPr>
        <w:t>更换使用机油要求：</w:t>
      </w:r>
    </w:p>
    <w:p w14:paraId="7A578A89">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（1）未用完的机油应装入塑料容器阴凉存放，移交</w:t>
      </w:r>
      <w:r>
        <w:rPr>
          <w:rFonts w:hint="eastAsia" w:ascii="Times New Roman" w:hAnsi="Times New Roman" w:eastAsia="方正仿宋_GBK" w:cs="Times New Roman"/>
          <w:sz w:val="24"/>
          <w:szCs w:val="24"/>
          <w:lang w:val="en-US" w:eastAsia="zh-CN"/>
        </w:rPr>
        <w:t>给</w:t>
      </w:r>
      <w:r>
        <w:rPr>
          <w:rFonts w:hint="default" w:ascii="Times New Roman" w:hAnsi="Times New Roman" w:eastAsia="方正仿宋_GBK" w:cs="Times New Roman"/>
          <w:sz w:val="24"/>
          <w:szCs w:val="24"/>
          <w:lang w:val="en-US" w:eastAsia="zh-CN"/>
        </w:rPr>
        <w:t>采购人</w:t>
      </w:r>
      <w:r>
        <w:rPr>
          <w:rFonts w:hint="default" w:ascii="Times New Roman" w:hAnsi="Times New Roman" w:eastAsia="方正仿宋_GBK" w:cs="Times New Roman"/>
          <w:sz w:val="24"/>
          <w:szCs w:val="24"/>
        </w:rPr>
        <w:t>。</w:t>
      </w:r>
      <w:r>
        <w:rPr>
          <w:rFonts w:hint="default" w:ascii="Times New Roman" w:hAnsi="Times New Roman" w:eastAsia="方正仿宋_GBK" w:cs="Times New Roman"/>
          <w:sz w:val="24"/>
          <w:szCs w:val="24"/>
          <w:lang w:val="en-US" w:eastAsia="zh-CN"/>
        </w:rPr>
        <w:t>供应商</w:t>
      </w:r>
      <w:r>
        <w:rPr>
          <w:rFonts w:hint="default" w:ascii="Times New Roman" w:hAnsi="Times New Roman" w:eastAsia="方正仿宋_GBK" w:cs="Times New Roman"/>
          <w:sz w:val="24"/>
          <w:szCs w:val="24"/>
        </w:rPr>
        <w:t>将更换后的机油废油自行带回进行安全环保处理。</w:t>
      </w:r>
    </w:p>
    <w:p w14:paraId="5902CC3C">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r>
        <w:rPr>
          <w:rFonts w:hint="eastAsia" w:ascii="Times New Roman" w:hAnsi="Times New Roman" w:eastAsia="方正仿宋_GBK" w:cs="Times New Roman"/>
          <w:sz w:val="24"/>
          <w:szCs w:val="24"/>
          <w:lang w:val="en-US" w:eastAsia="zh-CN"/>
        </w:rPr>
        <w:t>每次更换完机油后5日需向采购人出具维保报告，</w:t>
      </w:r>
      <w:r>
        <w:rPr>
          <w:rFonts w:hint="default" w:ascii="Times New Roman" w:hAnsi="Times New Roman" w:eastAsia="方正仿宋_GBK" w:cs="Times New Roman"/>
          <w:sz w:val="24"/>
          <w:szCs w:val="24"/>
        </w:rPr>
        <w:t>维保报告列出更换机油品牌及用量。</w:t>
      </w:r>
    </w:p>
    <w:p w14:paraId="35A0B918">
      <w:pPr>
        <w:numPr>
          <w:ilvl w:val="0"/>
          <w:numId w:val="0"/>
        </w:numPr>
        <w:tabs>
          <w:tab w:val="left" w:pos="0"/>
        </w:tabs>
        <w:spacing w:line="560" w:lineRule="exact"/>
        <w:ind w:left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5、</w:t>
      </w:r>
      <w:r>
        <w:rPr>
          <w:rFonts w:hint="default" w:ascii="Times New Roman" w:hAnsi="Times New Roman" w:eastAsia="方正仿宋_GBK" w:cs="Times New Roman"/>
          <w:b/>
          <w:bCs/>
          <w:sz w:val="24"/>
          <w:szCs w:val="24"/>
        </w:rPr>
        <w:t>滤芯</w:t>
      </w:r>
    </w:p>
    <w:p w14:paraId="6CD41AF6">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（1）维保服务方根据每台柴油发电机规格型号参数，选择相匹配适应的滤芯。</w:t>
      </w:r>
    </w:p>
    <w:p w14:paraId="6D581535">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（2）所选滤芯应具有长时间运行不堵塞，耐油耐高温耐氧化等功能。</w:t>
      </w:r>
    </w:p>
    <w:p w14:paraId="63DE721B">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w:t>
      </w:r>
      <w:r>
        <w:rPr>
          <w:rFonts w:hint="eastAsia" w:ascii="Times New Roman" w:hAnsi="Times New Roman" w:eastAsia="方正仿宋_GBK" w:cs="Times New Roman"/>
          <w:sz w:val="24"/>
          <w:szCs w:val="24"/>
          <w:lang w:val="en-US" w:eastAsia="zh-CN"/>
        </w:rPr>
        <w:t>每次更换完滤芯后5日需向采购人出具维保报告，</w:t>
      </w:r>
      <w:r>
        <w:rPr>
          <w:rFonts w:hint="default" w:ascii="Times New Roman" w:hAnsi="Times New Roman" w:eastAsia="方正仿宋_GBK" w:cs="Times New Roman"/>
          <w:sz w:val="24"/>
          <w:szCs w:val="24"/>
        </w:rPr>
        <w:t>维保报告详细列出滤芯规格型号和更换数量。</w:t>
      </w:r>
    </w:p>
    <w:p w14:paraId="100EBBC9">
      <w:pPr>
        <w:numPr>
          <w:ilvl w:val="0"/>
          <w:numId w:val="0"/>
        </w:numPr>
        <w:tabs>
          <w:tab w:val="left" w:pos="0"/>
        </w:tabs>
        <w:spacing w:line="560" w:lineRule="exact"/>
        <w:ind w:left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6、</w:t>
      </w:r>
      <w:r>
        <w:rPr>
          <w:rFonts w:hint="default" w:ascii="Times New Roman" w:hAnsi="Times New Roman" w:eastAsia="方正仿宋_GBK" w:cs="Times New Roman"/>
          <w:b/>
          <w:bCs/>
          <w:sz w:val="24"/>
          <w:szCs w:val="24"/>
        </w:rPr>
        <w:t>辅助软管</w:t>
      </w:r>
    </w:p>
    <w:p w14:paraId="3D60F918">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（1）维保服务方根据现场实际情况，对机组辅助软管进行详细检查，对有漏液及裂损的软管进行更换。</w:t>
      </w:r>
    </w:p>
    <w:p w14:paraId="6EA79E1E">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（2）新更换的软管具有长时间耐油、耐氧化、耐腐蚀、耐高温的特点。</w:t>
      </w:r>
    </w:p>
    <w:p w14:paraId="4772C5CE">
      <w:pPr>
        <w:numPr>
          <w:ilvl w:val="0"/>
          <w:numId w:val="0"/>
        </w:numPr>
        <w:tabs>
          <w:tab w:val="left" w:pos="0"/>
        </w:tabs>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w:t>
      </w:r>
      <w:r>
        <w:rPr>
          <w:rFonts w:hint="eastAsia" w:ascii="Times New Roman" w:hAnsi="Times New Roman" w:eastAsia="方正仿宋_GBK" w:cs="Times New Roman"/>
          <w:sz w:val="24"/>
          <w:szCs w:val="24"/>
          <w:lang w:eastAsia="zh-CN"/>
        </w:rPr>
        <w:t>供应商需在维保工作完成后</w:t>
      </w:r>
      <w:r>
        <w:rPr>
          <w:rFonts w:hint="default" w:ascii="Times New Roman" w:hAnsi="Times New Roman" w:eastAsia="方正仿宋_GBK" w:cs="Times New Roman"/>
          <w:sz w:val="24"/>
          <w:szCs w:val="24"/>
        </w:rPr>
        <w:t>列出</w:t>
      </w:r>
      <w:r>
        <w:rPr>
          <w:rFonts w:hint="default" w:ascii="Times New Roman" w:hAnsi="Times New Roman" w:eastAsia="方正仿宋_GBK" w:cs="Times New Roman"/>
          <w:sz w:val="24"/>
          <w:szCs w:val="24"/>
          <w:lang w:val="en-US" w:eastAsia="zh-CN"/>
        </w:rPr>
        <w:t>每次</w:t>
      </w:r>
      <w:r>
        <w:rPr>
          <w:rFonts w:hint="default" w:ascii="Times New Roman" w:hAnsi="Times New Roman" w:eastAsia="方正仿宋_GBK" w:cs="Times New Roman"/>
          <w:sz w:val="24"/>
          <w:szCs w:val="24"/>
        </w:rPr>
        <w:t>所更换辅助软管的用途（如回油软管</w:t>
      </w:r>
      <w:r>
        <w:rPr>
          <w:rFonts w:hint="eastAsia" w:ascii="Times New Roman" w:hAnsi="Times New Roman" w:eastAsia="方正仿宋_GBK" w:cs="Times New Roman"/>
          <w:sz w:val="24"/>
          <w:szCs w:val="24"/>
          <w:lang w:val="en-US" w:eastAsia="zh-CN"/>
        </w:rPr>
        <w:t>等</w:t>
      </w:r>
      <w:r>
        <w:rPr>
          <w:rFonts w:hint="default" w:ascii="Times New Roman" w:hAnsi="Times New Roman" w:eastAsia="方正仿宋_GBK" w:cs="Times New Roman"/>
          <w:sz w:val="24"/>
          <w:szCs w:val="24"/>
        </w:rPr>
        <w:t>）及规格型号。</w:t>
      </w:r>
    </w:p>
    <w:p w14:paraId="263CCDF8">
      <w:pPr>
        <w:numPr>
          <w:ilvl w:val="0"/>
          <w:numId w:val="0"/>
        </w:numPr>
        <w:tabs>
          <w:tab w:val="left" w:pos="0"/>
        </w:tabs>
        <w:spacing w:line="560" w:lineRule="exact"/>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7、</w:t>
      </w:r>
      <w:r>
        <w:rPr>
          <w:rFonts w:hint="default" w:ascii="Times New Roman" w:hAnsi="Times New Roman" w:eastAsia="方正仿宋_GBK" w:cs="Times New Roman"/>
          <w:b/>
          <w:bCs/>
          <w:sz w:val="24"/>
          <w:szCs w:val="24"/>
        </w:rPr>
        <w:t>例行巡检</w:t>
      </w:r>
    </w:p>
    <w:p w14:paraId="435D8CA4">
      <w:pPr>
        <w:numPr>
          <w:ilvl w:val="-1"/>
          <w:numId w:val="0"/>
        </w:numPr>
        <w:tabs>
          <w:tab w:val="left" w:pos="0"/>
        </w:tabs>
        <w:spacing w:line="560" w:lineRule="exact"/>
        <w:ind w:leftChars="0"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每半年进行一次烟尘处理器清洗，确保机组运行安全，提升效率。</w:t>
      </w:r>
    </w:p>
    <w:p w14:paraId="6EF1429F">
      <w:pPr>
        <w:numPr>
          <w:ilvl w:val="-1"/>
          <w:numId w:val="0"/>
        </w:numPr>
        <w:tabs>
          <w:tab w:val="left" w:pos="0"/>
        </w:tabs>
        <w:spacing w:line="560" w:lineRule="exact"/>
        <w:ind w:leftChars="0"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2）</w:t>
      </w:r>
      <w:r>
        <w:rPr>
          <w:rFonts w:hint="eastAsia" w:ascii="Times New Roman" w:hAnsi="Times New Roman" w:eastAsia="方正仿宋_GBK" w:cs="Times New Roman"/>
          <w:sz w:val="24"/>
          <w:szCs w:val="24"/>
          <w:lang w:val="en-US" w:eastAsia="zh-CN"/>
        </w:rPr>
        <w:t>一</w:t>
      </w:r>
      <w:r>
        <w:rPr>
          <w:rFonts w:hint="default" w:ascii="Times New Roman" w:hAnsi="Times New Roman" w:eastAsia="方正仿宋_GBK" w:cs="Times New Roman"/>
          <w:sz w:val="24"/>
          <w:szCs w:val="24"/>
        </w:rPr>
        <w:t>年进行一次加油系统功能性验证。</w:t>
      </w:r>
    </w:p>
    <w:p w14:paraId="393687E2">
      <w:pPr>
        <w:numPr>
          <w:ilvl w:val="-1"/>
          <w:numId w:val="0"/>
        </w:numPr>
        <w:tabs>
          <w:tab w:val="left" w:pos="0"/>
        </w:tabs>
        <w:spacing w:line="560" w:lineRule="exact"/>
        <w:ind w:leftChars="0"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lang w:eastAsia="zh-CN"/>
        </w:rPr>
        <w:t>一</w:t>
      </w:r>
      <w:r>
        <w:rPr>
          <w:rFonts w:hint="default" w:ascii="Times New Roman" w:hAnsi="Times New Roman" w:eastAsia="方正仿宋_GBK" w:cs="Times New Roman"/>
          <w:sz w:val="24"/>
          <w:szCs w:val="24"/>
        </w:rPr>
        <w:t>年进行一次机油和滤清器</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机油滤芯、柴油滤芯、空气滤芯等全套</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更换。</w:t>
      </w:r>
    </w:p>
    <w:p w14:paraId="4A840D2A">
      <w:pPr>
        <w:numPr>
          <w:ilvl w:val="-1"/>
          <w:numId w:val="0"/>
        </w:numPr>
        <w:spacing w:line="560" w:lineRule="exact"/>
        <w:ind w:leftChars="0"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4）一</w:t>
      </w:r>
      <w:r>
        <w:rPr>
          <w:rFonts w:hint="default" w:ascii="Times New Roman" w:hAnsi="Times New Roman" w:eastAsia="方正仿宋_GBK" w:cs="Times New Roman"/>
          <w:sz w:val="24"/>
          <w:szCs w:val="24"/>
        </w:rPr>
        <w:t>年进行一次假负载测试，</w:t>
      </w:r>
      <w:r>
        <w:rPr>
          <w:rFonts w:hint="eastAsia" w:ascii="Times New Roman" w:hAnsi="Times New Roman" w:eastAsia="方正仿宋_GBK" w:cs="Times New Roman"/>
          <w:sz w:val="24"/>
          <w:szCs w:val="24"/>
          <w:lang w:eastAsia="zh-CN"/>
        </w:rPr>
        <w:t>以</w:t>
      </w:r>
      <w:r>
        <w:rPr>
          <w:rFonts w:hint="default" w:ascii="Times New Roman" w:hAnsi="Times New Roman" w:eastAsia="方正仿宋_GBK" w:cs="Times New Roman"/>
          <w:sz w:val="24"/>
          <w:szCs w:val="24"/>
        </w:rPr>
        <w:t>确保机组输出电压能达到效率，并出具相关测试报告单详见附件三。</w:t>
      </w:r>
    </w:p>
    <w:p w14:paraId="6483D8C3">
      <w:pPr>
        <w:numPr>
          <w:ilvl w:val="-1"/>
          <w:numId w:val="0"/>
        </w:numPr>
        <w:tabs>
          <w:tab w:val="left" w:pos="0"/>
        </w:tabs>
        <w:spacing w:line="560" w:lineRule="exact"/>
        <w:ind w:leftChars="200" w:firstLine="0" w:firstLineChars="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rPr>
        <w:t>紧急故障处理</w:t>
      </w:r>
    </w:p>
    <w:p w14:paraId="51412DF5">
      <w:pPr>
        <w:spacing w:line="56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除了做好例行保养外，还必须做到全天24小时对机组出现的任何突发故障进行抢修，并排除故障。</w:t>
      </w:r>
    </w:p>
    <w:p w14:paraId="79C7E24D">
      <w:pPr>
        <w:numPr>
          <w:ilvl w:val="-1"/>
          <w:numId w:val="0"/>
        </w:numPr>
        <w:tabs>
          <w:tab w:val="left" w:pos="0"/>
        </w:tabs>
        <w:spacing w:line="560" w:lineRule="exact"/>
        <w:ind w:leftChars="0"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6）</w:t>
      </w:r>
      <w:r>
        <w:rPr>
          <w:rFonts w:hint="default" w:ascii="Times New Roman" w:hAnsi="Times New Roman" w:eastAsia="方正仿宋_GBK" w:cs="Times New Roman"/>
          <w:sz w:val="24"/>
          <w:szCs w:val="24"/>
        </w:rPr>
        <w:t>柴油的油品的检查，储油罐安全性检查。根据数据中心机组技术行业规范，增加储油罐运维管理：</w:t>
      </w:r>
    </w:p>
    <w:p w14:paraId="7C5878E8">
      <w:pPr>
        <w:pStyle w:val="20"/>
        <w:numPr>
          <w:ilvl w:val="0"/>
          <w:numId w:val="0"/>
        </w:numPr>
        <w:adjustRightInd/>
        <w:spacing w:line="52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①储油罐中储存的柴油，每年定期找第三方检测机构检测一次，如检测不达标，需要过滤处理或更换新油。检测标准可参照《车用柴油》GB-19147。</w:t>
      </w:r>
    </w:p>
    <w:p w14:paraId="26222802">
      <w:pPr>
        <w:pStyle w:val="20"/>
        <w:numPr>
          <w:ilvl w:val="0"/>
          <w:numId w:val="0"/>
        </w:numPr>
        <w:adjustRightInd/>
        <w:spacing w:line="52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②对油罐中的柴油定期检查发现柴油</w:t>
      </w:r>
      <w:r>
        <w:rPr>
          <w:rFonts w:hint="eastAsia" w:ascii="Times New Roman" w:hAnsi="Times New Roman" w:eastAsia="方正仿宋_GBK" w:cs="Times New Roman"/>
          <w:sz w:val="24"/>
          <w:szCs w:val="24"/>
          <w:lang w:eastAsia="zh-CN"/>
        </w:rPr>
        <w:t>中</w:t>
      </w:r>
      <w:r>
        <w:rPr>
          <w:rFonts w:hint="default" w:ascii="Times New Roman" w:hAnsi="Times New Roman" w:eastAsia="方正仿宋_GBK" w:cs="Times New Roman"/>
          <w:sz w:val="24"/>
          <w:szCs w:val="24"/>
        </w:rPr>
        <w:t>含有水分、机械等杂质，可进行物理过滤，同时要对地埋油罐进行清洗。</w:t>
      </w:r>
    </w:p>
    <w:p w14:paraId="7D98D17A">
      <w:pPr>
        <w:pStyle w:val="20"/>
        <w:spacing w:line="520" w:lineRule="exact"/>
        <w:ind w:firstLine="480" w:firstLineChars="200"/>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sz w:val="24"/>
          <w:szCs w:val="24"/>
        </w:rPr>
        <w:t>③对储油罐进行每月一次安全性检查，对油罐注油口、检修口及管道密封性、避雷器接地等，做例行巡检，可及时做出风险识别，并处理隐患。</w:t>
      </w:r>
      <w:bookmarkStart w:id="181" w:name="_Hlk54290327"/>
    </w:p>
    <w:p w14:paraId="7656CCAA">
      <w:pPr>
        <w:numPr>
          <w:ilvl w:val="-1"/>
          <w:numId w:val="0"/>
        </w:numPr>
        <w:tabs>
          <w:tab w:val="left" w:pos="0"/>
        </w:tabs>
        <w:spacing w:line="560" w:lineRule="exact"/>
        <w:ind w:firstLine="482" w:firstLineChars="200"/>
        <w:rPr>
          <w:rFonts w:hint="default" w:ascii="Times New Roman" w:hAnsi="Times New Roman" w:eastAsia="方正仿宋_GBK" w:cs="Times New Roman"/>
          <w:b/>
          <w:bCs/>
          <w:color w:val="000000"/>
          <w:sz w:val="24"/>
          <w:szCs w:val="24"/>
        </w:rPr>
      </w:pPr>
      <w:r>
        <w:rPr>
          <w:rFonts w:hint="default" w:ascii="Times New Roman" w:hAnsi="Times New Roman" w:eastAsia="方正仿宋_GBK" w:cs="Times New Roman"/>
          <w:b/>
          <w:bCs/>
          <w:color w:val="000000"/>
          <w:sz w:val="24"/>
          <w:szCs w:val="24"/>
        </w:rPr>
        <w:t>管理体系文件建设目录要求</w:t>
      </w:r>
    </w:p>
    <w:tbl>
      <w:tblPr>
        <w:tblStyle w:val="21"/>
        <w:tblW w:w="8926" w:type="dxa"/>
        <w:tblInd w:w="0" w:type="dxa"/>
        <w:tblLayout w:type="fixed"/>
        <w:tblCellMar>
          <w:top w:w="0" w:type="dxa"/>
          <w:left w:w="108" w:type="dxa"/>
          <w:bottom w:w="0" w:type="dxa"/>
          <w:right w:w="108" w:type="dxa"/>
        </w:tblCellMar>
      </w:tblPr>
      <w:tblGrid>
        <w:gridCol w:w="2899"/>
        <w:gridCol w:w="6027"/>
      </w:tblGrid>
      <w:tr w14:paraId="04C2C69C">
        <w:tblPrEx>
          <w:tblCellMar>
            <w:top w:w="0" w:type="dxa"/>
            <w:left w:w="108" w:type="dxa"/>
            <w:bottom w:w="0" w:type="dxa"/>
            <w:right w:w="108" w:type="dxa"/>
          </w:tblCellMar>
        </w:tblPrEx>
        <w:trPr>
          <w:trHeight w:val="285" w:hRule="atLeast"/>
        </w:trPr>
        <w:tc>
          <w:tcPr>
            <w:tcW w:w="8926" w:type="dxa"/>
            <w:gridSpan w:val="2"/>
            <w:tcBorders>
              <w:top w:val="single" w:color="auto" w:sz="4" w:space="0"/>
              <w:left w:val="single" w:color="auto" w:sz="4" w:space="0"/>
              <w:bottom w:val="single" w:color="auto" w:sz="4" w:space="0"/>
              <w:right w:val="single" w:color="auto" w:sz="4" w:space="0"/>
            </w:tcBorders>
            <w:shd w:val="clear" w:color="000000" w:fill="E7E6E6"/>
            <w:vAlign w:val="center"/>
          </w:tcPr>
          <w:p w14:paraId="5B9EE1C1">
            <w:pPr>
              <w:spacing w:line="480" w:lineRule="exact"/>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管理领域</w:t>
            </w:r>
          </w:p>
        </w:tc>
      </w:tr>
      <w:tr w14:paraId="5936CD9A">
        <w:tblPrEx>
          <w:tblCellMar>
            <w:top w:w="0" w:type="dxa"/>
            <w:left w:w="108" w:type="dxa"/>
            <w:bottom w:w="0" w:type="dxa"/>
            <w:right w:w="108" w:type="dxa"/>
          </w:tblCellMar>
        </w:tblPrEx>
        <w:trPr>
          <w:trHeight w:val="285" w:hRule="atLeast"/>
        </w:trPr>
        <w:tc>
          <w:tcPr>
            <w:tcW w:w="2899" w:type="dxa"/>
            <w:vMerge w:val="restart"/>
            <w:tcBorders>
              <w:top w:val="nil"/>
              <w:left w:val="single" w:color="auto" w:sz="4" w:space="0"/>
              <w:bottom w:val="single" w:color="000000" w:sz="4" w:space="0"/>
              <w:right w:val="single" w:color="auto" w:sz="4" w:space="0"/>
            </w:tcBorders>
            <w:shd w:val="clear" w:color="auto" w:fill="auto"/>
            <w:vAlign w:val="center"/>
          </w:tcPr>
          <w:p w14:paraId="01B87123">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安全管理</w:t>
            </w:r>
          </w:p>
        </w:tc>
        <w:tc>
          <w:tcPr>
            <w:tcW w:w="6027" w:type="dxa"/>
            <w:tcBorders>
              <w:top w:val="nil"/>
              <w:left w:val="nil"/>
              <w:bottom w:val="single" w:color="auto" w:sz="4" w:space="0"/>
              <w:right w:val="single" w:color="auto" w:sz="4" w:space="0"/>
            </w:tcBorders>
            <w:shd w:val="clear" w:color="auto" w:fill="auto"/>
            <w:vAlign w:val="center"/>
          </w:tcPr>
          <w:p w14:paraId="696BF577">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人员安全</w:t>
            </w:r>
          </w:p>
        </w:tc>
      </w:tr>
      <w:tr w14:paraId="5ED35494">
        <w:tblPrEx>
          <w:tblCellMar>
            <w:top w:w="0" w:type="dxa"/>
            <w:left w:w="108" w:type="dxa"/>
            <w:bottom w:w="0" w:type="dxa"/>
            <w:right w:w="108" w:type="dxa"/>
          </w:tblCellMar>
        </w:tblPrEx>
        <w:trPr>
          <w:trHeight w:val="285" w:hRule="atLeast"/>
        </w:trPr>
        <w:tc>
          <w:tcPr>
            <w:tcW w:w="2899" w:type="dxa"/>
            <w:vMerge w:val="continue"/>
            <w:tcBorders>
              <w:top w:val="nil"/>
              <w:left w:val="single" w:color="auto" w:sz="4" w:space="0"/>
              <w:bottom w:val="single" w:color="000000" w:sz="4" w:space="0"/>
              <w:right w:val="single" w:color="auto" w:sz="4" w:space="0"/>
            </w:tcBorders>
            <w:shd w:val="clear" w:color="auto" w:fill="auto"/>
            <w:vAlign w:val="center"/>
          </w:tcPr>
          <w:p w14:paraId="5DC821C7">
            <w:pPr>
              <w:spacing w:line="480" w:lineRule="exact"/>
              <w:jc w:val="left"/>
              <w:rPr>
                <w:rFonts w:hint="default" w:ascii="Times New Roman" w:hAnsi="Times New Roman" w:eastAsia="方正仿宋_GBK" w:cs="Times New Roman"/>
                <w:sz w:val="24"/>
                <w:szCs w:val="24"/>
              </w:rPr>
            </w:pPr>
          </w:p>
        </w:tc>
        <w:tc>
          <w:tcPr>
            <w:tcW w:w="6027" w:type="dxa"/>
            <w:tcBorders>
              <w:top w:val="nil"/>
              <w:left w:val="nil"/>
              <w:bottom w:val="single" w:color="auto" w:sz="4" w:space="0"/>
              <w:right w:val="single" w:color="auto" w:sz="4" w:space="0"/>
            </w:tcBorders>
            <w:shd w:val="clear" w:color="auto" w:fill="auto"/>
            <w:vAlign w:val="center"/>
          </w:tcPr>
          <w:p w14:paraId="4245983C">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职业健康</w:t>
            </w:r>
          </w:p>
        </w:tc>
      </w:tr>
      <w:tr w14:paraId="00AB764E">
        <w:tblPrEx>
          <w:tblCellMar>
            <w:top w:w="0" w:type="dxa"/>
            <w:left w:w="108" w:type="dxa"/>
            <w:bottom w:w="0" w:type="dxa"/>
            <w:right w:w="108" w:type="dxa"/>
          </w:tblCellMar>
        </w:tblPrEx>
        <w:trPr>
          <w:trHeight w:val="285" w:hRule="atLeast"/>
        </w:trPr>
        <w:tc>
          <w:tcPr>
            <w:tcW w:w="2899" w:type="dxa"/>
            <w:vMerge w:val="continue"/>
            <w:tcBorders>
              <w:top w:val="nil"/>
              <w:left w:val="single" w:color="auto" w:sz="4" w:space="0"/>
              <w:bottom w:val="single" w:color="000000" w:sz="4" w:space="0"/>
              <w:right w:val="single" w:color="auto" w:sz="4" w:space="0"/>
            </w:tcBorders>
            <w:shd w:val="clear" w:color="auto" w:fill="auto"/>
            <w:vAlign w:val="center"/>
          </w:tcPr>
          <w:p w14:paraId="24782057">
            <w:pPr>
              <w:spacing w:line="480" w:lineRule="exact"/>
              <w:jc w:val="left"/>
              <w:rPr>
                <w:rFonts w:hint="default" w:ascii="Times New Roman" w:hAnsi="Times New Roman" w:eastAsia="方正仿宋_GBK" w:cs="Times New Roman"/>
                <w:sz w:val="24"/>
                <w:szCs w:val="24"/>
              </w:rPr>
            </w:pPr>
          </w:p>
        </w:tc>
        <w:tc>
          <w:tcPr>
            <w:tcW w:w="6027" w:type="dxa"/>
            <w:tcBorders>
              <w:top w:val="nil"/>
              <w:left w:val="nil"/>
              <w:bottom w:val="single" w:color="auto" w:sz="4" w:space="0"/>
              <w:right w:val="single" w:color="auto" w:sz="4" w:space="0"/>
            </w:tcBorders>
            <w:shd w:val="clear" w:color="auto" w:fill="auto"/>
            <w:vAlign w:val="center"/>
          </w:tcPr>
          <w:p w14:paraId="5B92397C">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环境安全</w:t>
            </w:r>
          </w:p>
        </w:tc>
      </w:tr>
      <w:tr w14:paraId="2352482F">
        <w:tblPrEx>
          <w:tblCellMar>
            <w:top w:w="0" w:type="dxa"/>
            <w:left w:w="108" w:type="dxa"/>
            <w:bottom w:w="0" w:type="dxa"/>
            <w:right w:w="108" w:type="dxa"/>
          </w:tblCellMar>
        </w:tblPrEx>
        <w:trPr>
          <w:trHeight w:val="285" w:hRule="atLeast"/>
        </w:trPr>
        <w:tc>
          <w:tcPr>
            <w:tcW w:w="2899" w:type="dxa"/>
            <w:vMerge w:val="continue"/>
            <w:tcBorders>
              <w:top w:val="nil"/>
              <w:left w:val="single" w:color="auto" w:sz="4" w:space="0"/>
              <w:bottom w:val="nil"/>
              <w:right w:val="single" w:color="auto" w:sz="4" w:space="0"/>
            </w:tcBorders>
            <w:shd w:val="clear" w:color="auto" w:fill="auto"/>
            <w:vAlign w:val="center"/>
          </w:tcPr>
          <w:p w14:paraId="7BD96730">
            <w:pPr>
              <w:spacing w:line="480" w:lineRule="exact"/>
              <w:jc w:val="left"/>
              <w:rPr>
                <w:rFonts w:hint="default" w:ascii="Times New Roman" w:hAnsi="Times New Roman" w:eastAsia="方正仿宋_GBK" w:cs="Times New Roman"/>
                <w:sz w:val="24"/>
                <w:szCs w:val="24"/>
              </w:rPr>
            </w:pPr>
          </w:p>
        </w:tc>
        <w:tc>
          <w:tcPr>
            <w:tcW w:w="6027" w:type="dxa"/>
            <w:tcBorders>
              <w:top w:val="nil"/>
              <w:left w:val="nil"/>
              <w:bottom w:val="single" w:color="auto" w:sz="4" w:space="0"/>
              <w:right w:val="single" w:color="auto" w:sz="4" w:space="0"/>
            </w:tcBorders>
            <w:shd w:val="clear" w:color="auto" w:fill="auto"/>
            <w:vAlign w:val="center"/>
          </w:tcPr>
          <w:p w14:paraId="4C09FD4E">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作业管理（SOP\MOP）</w:t>
            </w:r>
          </w:p>
        </w:tc>
      </w:tr>
      <w:tr w14:paraId="245F7E25">
        <w:tblPrEx>
          <w:tblCellMar>
            <w:top w:w="0" w:type="dxa"/>
            <w:left w:w="108" w:type="dxa"/>
            <w:bottom w:w="0" w:type="dxa"/>
            <w:right w:w="108" w:type="dxa"/>
          </w:tblCellMar>
        </w:tblPrEx>
        <w:trPr>
          <w:trHeight w:val="285" w:hRule="atLeast"/>
        </w:trPr>
        <w:tc>
          <w:tcPr>
            <w:tcW w:w="2899" w:type="dxa"/>
            <w:vMerge w:val="continue"/>
            <w:tcBorders>
              <w:top w:val="nil"/>
              <w:left w:val="single" w:color="auto" w:sz="4" w:space="0"/>
              <w:bottom w:val="nil"/>
              <w:right w:val="single" w:color="auto" w:sz="4" w:space="0"/>
            </w:tcBorders>
            <w:shd w:val="clear" w:color="auto" w:fill="auto"/>
            <w:vAlign w:val="center"/>
          </w:tcPr>
          <w:p w14:paraId="381FC6C2">
            <w:pPr>
              <w:spacing w:line="480" w:lineRule="exact"/>
              <w:jc w:val="left"/>
              <w:rPr>
                <w:rFonts w:hint="default" w:ascii="Times New Roman" w:hAnsi="Times New Roman" w:eastAsia="方正仿宋_GBK" w:cs="Times New Roman"/>
                <w:sz w:val="24"/>
                <w:szCs w:val="24"/>
              </w:rPr>
            </w:pPr>
          </w:p>
        </w:tc>
        <w:tc>
          <w:tcPr>
            <w:tcW w:w="6027" w:type="dxa"/>
            <w:tcBorders>
              <w:top w:val="nil"/>
              <w:left w:val="nil"/>
              <w:bottom w:val="single" w:color="auto" w:sz="4" w:space="0"/>
              <w:right w:val="single" w:color="auto" w:sz="4" w:space="0"/>
            </w:tcBorders>
            <w:shd w:val="clear" w:color="auto" w:fill="auto"/>
            <w:vAlign w:val="center"/>
          </w:tcPr>
          <w:p w14:paraId="339320B8">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事件管理</w:t>
            </w:r>
          </w:p>
        </w:tc>
      </w:tr>
      <w:tr w14:paraId="35B3F392">
        <w:tblPrEx>
          <w:tblCellMar>
            <w:top w:w="0" w:type="dxa"/>
            <w:left w:w="108" w:type="dxa"/>
            <w:bottom w:w="0" w:type="dxa"/>
            <w:right w:w="108" w:type="dxa"/>
          </w:tblCellMar>
        </w:tblPrEx>
        <w:trPr>
          <w:trHeight w:val="285" w:hRule="atLeast"/>
        </w:trPr>
        <w:tc>
          <w:tcPr>
            <w:tcW w:w="2899" w:type="dxa"/>
            <w:vMerge w:val="continue"/>
            <w:tcBorders>
              <w:top w:val="nil"/>
              <w:left w:val="single" w:color="auto" w:sz="4" w:space="0"/>
              <w:bottom w:val="nil"/>
              <w:right w:val="single" w:color="auto" w:sz="4" w:space="0"/>
            </w:tcBorders>
            <w:shd w:val="clear" w:color="auto" w:fill="auto"/>
            <w:vAlign w:val="center"/>
          </w:tcPr>
          <w:p w14:paraId="3CB1B1D2">
            <w:pPr>
              <w:spacing w:line="480" w:lineRule="exact"/>
              <w:jc w:val="left"/>
              <w:rPr>
                <w:rFonts w:hint="default" w:ascii="Times New Roman" w:hAnsi="Times New Roman" w:eastAsia="方正仿宋_GBK" w:cs="Times New Roman"/>
                <w:sz w:val="24"/>
                <w:szCs w:val="24"/>
              </w:rPr>
            </w:pPr>
          </w:p>
        </w:tc>
        <w:tc>
          <w:tcPr>
            <w:tcW w:w="6027" w:type="dxa"/>
            <w:tcBorders>
              <w:top w:val="nil"/>
              <w:left w:val="nil"/>
              <w:bottom w:val="single" w:color="auto" w:sz="4" w:space="0"/>
              <w:right w:val="single" w:color="auto" w:sz="4" w:space="0"/>
            </w:tcBorders>
            <w:shd w:val="clear" w:color="auto" w:fill="auto"/>
            <w:vAlign w:val="center"/>
          </w:tcPr>
          <w:p w14:paraId="74A1B7A0">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问题管理</w:t>
            </w:r>
          </w:p>
        </w:tc>
      </w:tr>
      <w:tr w14:paraId="56750B73">
        <w:tblPrEx>
          <w:tblCellMar>
            <w:top w:w="0" w:type="dxa"/>
            <w:left w:w="108" w:type="dxa"/>
            <w:bottom w:w="0" w:type="dxa"/>
            <w:right w:w="108" w:type="dxa"/>
          </w:tblCellMar>
        </w:tblPrEx>
        <w:trPr>
          <w:trHeight w:val="285" w:hRule="atLeast"/>
        </w:trPr>
        <w:tc>
          <w:tcPr>
            <w:tcW w:w="28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A17657">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应急管理</w:t>
            </w:r>
          </w:p>
        </w:tc>
        <w:tc>
          <w:tcPr>
            <w:tcW w:w="6027" w:type="dxa"/>
            <w:tcBorders>
              <w:top w:val="single" w:color="auto" w:sz="4" w:space="0"/>
              <w:left w:val="nil"/>
              <w:bottom w:val="single" w:color="auto" w:sz="4" w:space="0"/>
              <w:right w:val="single" w:color="auto" w:sz="4" w:space="0"/>
            </w:tcBorders>
            <w:shd w:val="clear" w:color="auto" w:fill="auto"/>
            <w:vAlign w:val="center"/>
          </w:tcPr>
          <w:p w14:paraId="06D5DD89">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风险识别</w:t>
            </w:r>
          </w:p>
        </w:tc>
      </w:tr>
      <w:tr w14:paraId="4D3A7937">
        <w:tblPrEx>
          <w:tblCellMar>
            <w:top w:w="0" w:type="dxa"/>
            <w:left w:w="108" w:type="dxa"/>
            <w:bottom w:w="0" w:type="dxa"/>
            <w:right w:w="108" w:type="dxa"/>
          </w:tblCellMar>
        </w:tblPrEx>
        <w:trPr>
          <w:trHeight w:val="285" w:hRule="atLeast"/>
        </w:trPr>
        <w:tc>
          <w:tcPr>
            <w:tcW w:w="28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E30158">
            <w:pPr>
              <w:spacing w:line="480" w:lineRule="exact"/>
              <w:jc w:val="left"/>
              <w:rPr>
                <w:rFonts w:hint="default" w:ascii="Times New Roman" w:hAnsi="Times New Roman" w:eastAsia="方正仿宋_GBK" w:cs="Times New Roman"/>
                <w:sz w:val="24"/>
                <w:szCs w:val="24"/>
              </w:rPr>
            </w:pPr>
          </w:p>
        </w:tc>
        <w:tc>
          <w:tcPr>
            <w:tcW w:w="6027" w:type="dxa"/>
            <w:tcBorders>
              <w:top w:val="single" w:color="auto" w:sz="4" w:space="0"/>
              <w:left w:val="nil"/>
              <w:bottom w:val="single" w:color="auto" w:sz="4" w:space="0"/>
              <w:right w:val="single" w:color="auto" w:sz="4" w:space="0"/>
            </w:tcBorders>
            <w:shd w:val="clear" w:color="auto" w:fill="auto"/>
            <w:vAlign w:val="center"/>
          </w:tcPr>
          <w:p w14:paraId="0B13EF9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风险评估</w:t>
            </w:r>
          </w:p>
        </w:tc>
      </w:tr>
      <w:tr w14:paraId="5ED55A4A">
        <w:tblPrEx>
          <w:tblCellMar>
            <w:top w:w="0" w:type="dxa"/>
            <w:left w:w="108" w:type="dxa"/>
            <w:bottom w:w="0" w:type="dxa"/>
            <w:right w:w="108" w:type="dxa"/>
          </w:tblCellMar>
        </w:tblPrEx>
        <w:trPr>
          <w:trHeight w:val="285" w:hRule="atLeast"/>
        </w:trPr>
        <w:tc>
          <w:tcPr>
            <w:tcW w:w="28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9460A8">
            <w:pPr>
              <w:spacing w:line="480" w:lineRule="exact"/>
              <w:jc w:val="left"/>
              <w:rPr>
                <w:rFonts w:hint="default" w:ascii="Times New Roman" w:hAnsi="Times New Roman" w:eastAsia="方正仿宋_GBK" w:cs="Times New Roman"/>
                <w:sz w:val="24"/>
                <w:szCs w:val="24"/>
              </w:rPr>
            </w:pPr>
          </w:p>
        </w:tc>
        <w:tc>
          <w:tcPr>
            <w:tcW w:w="6027" w:type="dxa"/>
            <w:tcBorders>
              <w:top w:val="single" w:color="auto" w:sz="4" w:space="0"/>
              <w:left w:val="nil"/>
              <w:bottom w:val="single" w:color="auto" w:sz="4" w:space="0"/>
              <w:right w:val="single" w:color="auto" w:sz="4" w:space="0"/>
            </w:tcBorders>
            <w:shd w:val="clear" w:color="auto" w:fill="auto"/>
            <w:vAlign w:val="center"/>
          </w:tcPr>
          <w:p w14:paraId="63E19745">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预案制定</w:t>
            </w:r>
          </w:p>
        </w:tc>
      </w:tr>
      <w:tr w14:paraId="529E67AE">
        <w:tblPrEx>
          <w:tblCellMar>
            <w:top w:w="0" w:type="dxa"/>
            <w:left w:w="108" w:type="dxa"/>
            <w:bottom w:w="0" w:type="dxa"/>
            <w:right w:w="108" w:type="dxa"/>
          </w:tblCellMar>
        </w:tblPrEx>
        <w:trPr>
          <w:trHeight w:val="285" w:hRule="atLeast"/>
        </w:trPr>
        <w:tc>
          <w:tcPr>
            <w:tcW w:w="28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D18D4E">
            <w:pPr>
              <w:spacing w:line="480" w:lineRule="exact"/>
              <w:jc w:val="left"/>
              <w:rPr>
                <w:rFonts w:hint="default" w:ascii="Times New Roman" w:hAnsi="Times New Roman" w:eastAsia="方正仿宋_GBK" w:cs="Times New Roman"/>
                <w:sz w:val="24"/>
                <w:szCs w:val="24"/>
              </w:rPr>
            </w:pPr>
          </w:p>
        </w:tc>
        <w:tc>
          <w:tcPr>
            <w:tcW w:w="6027" w:type="dxa"/>
            <w:tcBorders>
              <w:top w:val="single" w:color="auto" w:sz="4" w:space="0"/>
              <w:left w:val="nil"/>
              <w:bottom w:val="single" w:color="auto" w:sz="4" w:space="0"/>
              <w:right w:val="single" w:color="auto" w:sz="4" w:space="0"/>
            </w:tcBorders>
            <w:shd w:val="clear" w:color="auto" w:fill="auto"/>
            <w:vAlign w:val="center"/>
          </w:tcPr>
          <w:p w14:paraId="1CE0EAD7">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应急演练（EOP）</w:t>
            </w:r>
          </w:p>
        </w:tc>
      </w:tr>
      <w:bookmarkEnd w:id="180"/>
      <w:bookmarkEnd w:id="181"/>
    </w:tbl>
    <w:p w14:paraId="0C9C7E30">
      <w:pPr>
        <w:pStyle w:val="4"/>
        <w:numPr>
          <w:ilvl w:val="-1"/>
          <w:numId w:val="0"/>
        </w:numPr>
        <w:adjustRightInd/>
        <w:spacing w:after="0" w:line="560" w:lineRule="exact"/>
        <w:ind w:leftChars="0" w:firstLine="482" w:firstLineChars="20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三）</w:t>
      </w:r>
      <w:bookmarkStart w:id="182" w:name="_Toc137543719"/>
      <w:r>
        <w:rPr>
          <w:rFonts w:hint="default" w:ascii="Times New Roman" w:hAnsi="Times New Roman" w:eastAsia="方正仿宋_GBK" w:cs="Times New Roman"/>
          <w:sz w:val="24"/>
          <w:szCs w:val="24"/>
        </w:rPr>
        <w:t>培训内容</w:t>
      </w:r>
      <w:bookmarkEnd w:id="182"/>
    </w:p>
    <w:p w14:paraId="5952E688">
      <w:pPr>
        <w:pStyle w:val="4"/>
        <w:numPr>
          <w:ilvl w:val="0"/>
          <w:numId w:val="0"/>
        </w:numPr>
        <w:adjustRightInd/>
        <w:spacing w:before="0" w:after="0" w:line="560" w:lineRule="exact"/>
        <w:ind w:firstLine="480" w:firstLineChars="200"/>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val="0"/>
          <w:bCs w:val="0"/>
          <w:color w:val="auto"/>
          <w:sz w:val="24"/>
          <w:szCs w:val="24"/>
          <w:u w:val="none"/>
          <w:lang w:val="en-US" w:eastAsia="zh-CN"/>
        </w:rPr>
        <w:t>1、</w:t>
      </w:r>
      <w:r>
        <w:rPr>
          <w:rFonts w:hint="default" w:ascii="Times New Roman" w:hAnsi="Times New Roman" w:eastAsia="方正仿宋_GBK" w:cs="Times New Roman"/>
          <w:b w:val="0"/>
          <w:bCs w:val="0"/>
          <w:color w:val="auto"/>
          <w:sz w:val="24"/>
          <w:szCs w:val="24"/>
          <w:u w:val="none"/>
        </w:rPr>
        <w:t>运维管理体系文件学习及应用，包括安全理念、安全法规、安全技术培训。安全课件包括危险源识别、防护、机房消防、电气、燃油等。</w:t>
      </w:r>
    </w:p>
    <w:p w14:paraId="6AA7CA03">
      <w:pPr>
        <w:widowControl w:val="0"/>
        <w:numPr>
          <w:ilvl w:val="0"/>
          <w:numId w:val="0"/>
        </w:numPr>
        <w:spacing w:line="560" w:lineRule="exact"/>
        <w:ind w:leftChars="0"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2、了解设备基础理论，系统组成介绍，包括不限于</w:t>
      </w:r>
      <w:r>
        <w:rPr>
          <w:rFonts w:hint="default" w:ascii="Times New Roman" w:hAnsi="Times New Roman" w:eastAsia="方正仿宋_GBK" w:cs="Times New Roman"/>
          <w:sz w:val="24"/>
          <w:szCs w:val="24"/>
          <w:lang w:val="en-US" w:eastAsia="zh-CN" w:bidi="ar-SA"/>
        </w:rPr>
        <w:t>柴油发电机并联系统，自动加油系统等</w:t>
      </w:r>
      <w:r>
        <w:rPr>
          <w:rFonts w:hint="default" w:ascii="Times New Roman" w:hAnsi="Times New Roman" w:eastAsia="方正仿宋_GBK" w:cs="Times New Roman"/>
          <w:color w:val="000000"/>
          <w:sz w:val="24"/>
          <w:szCs w:val="24"/>
          <w:lang w:val="en-US" w:eastAsia="zh-CN" w:bidi="ar-SA"/>
        </w:rPr>
        <w:t>。</w:t>
      </w:r>
    </w:p>
    <w:p w14:paraId="42A0F418">
      <w:pPr>
        <w:widowControl w:val="0"/>
        <w:numPr>
          <w:ilvl w:val="0"/>
          <w:numId w:val="0"/>
        </w:numPr>
        <w:spacing w:line="560" w:lineRule="exact"/>
        <w:ind w:leftChars="0"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3、熟悉系统安全维护流程、基础设施运维管理与风险识别控制。包括故障现场拍照留底报修、运行数据分析，日常维护关注重点，日常维护注意事项，应急处理措施等。以及现场实际操作和应急维护维修方案制定方法。</w:t>
      </w:r>
    </w:p>
    <w:p w14:paraId="577D4354">
      <w:pPr>
        <w:pStyle w:val="4"/>
        <w:numPr>
          <w:ilvl w:val="0"/>
          <w:numId w:val="0"/>
        </w:numPr>
        <w:spacing w:before="0" w:after="0" w:line="560" w:lineRule="exact"/>
        <w:ind w:firstLine="482" w:firstLineChars="200"/>
        <w:jc w:val="left"/>
        <w:rPr>
          <w:rFonts w:hint="default" w:ascii="Times New Roman" w:hAnsi="Times New Roman" w:eastAsia="方正仿宋_GBK" w:cs="Times New Roman"/>
          <w:sz w:val="24"/>
          <w:szCs w:val="24"/>
          <w:lang w:eastAsia="zh-CN"/>
        </w:rPr>
      </w:pPr>
      <w:bookmarkStart w:id="183" w:name="_Toc137543720"/>
      <w:bookmarkStart w:id="184" w:name="_Toc139025146"/>
      <w:bookmarkStart w:id="185" w:name="_Toc139025202"/>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四</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技术支持服务的工作</w:t>
      </w:r>
      <w:bookmarkEnd w:id="183"/>
      <w:bookmarkEnd w:id="184"/>
      <w:bookmarkEnd w:id="185"/>
      <w:r>
        <w:rPr>
          <w:rFonts w:hint="default" w:ascii="Times New Roman" w:hAnsi="Times New Roman" w:eastAsia="方正仿宋_GBK" w:cs="Times New Roman"/>
          <w:sz w:val="24"/>
          <w:szCs w:val="24"/>
          <w:lang w:val="en-US" w:eastAsia="zh-CN"/>
        </w:rPr>
        <w:t>要求</w:t>
      </w:r>
    </w:p>
    <w:p w14:paraId="5E5B6EE5">
      <w:pPr>
        <w:widowControl w:val="0"/>
        <w:numPr>
          <w:ilvl w:val="0"/>
          <w:numId w:val="0"/>
        </w:numPr>
        <w:spacing w:line="560" w:lineRule="exact"/>
        <w:ind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1、运维体系建设及培训总体工作60天内完成。</w:t>
      </w:r>
    </w:p>
    <w:p w14:paraId="5B74921D">
      <w:pPr>
        <w:widowControl w:val="0"/>
        <w:numPr>
          <w:ilvl w:val="0"/>
          <w:numId w:val="0"/>
        </w:numPr>
        <w:spacing w:line="560" w:lineRule="exact"/>
        <w:ind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2、根据要求完成月、季度、年度巡检维保内容并做好记录。</w:t>
      </w:r>
    </w:p>
    <w:p w14:paraId="59C61E20">
      <w:pPr>
        <w:widowControl w:val="0"/>
        <w:numPr>
          <w:ilvl w:val="0"/>
          <w:numId w:val="0"/>
        </w:numPr>
        <w:spacing w:line="560" w:lineRule="exact"/>
        <w:ind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3、首保内容（</w:t>
      </w:r>
      <w:r>
        <w:rPr>
          <w:rFonts w:hint="eastAsia" w:ascii="Times New Roman" w:hAnsi="Times New Roman" w:eastAsia="方正仿宋_GBK" w:cs="Times New Roman"/>
          <w:color w:val="000000"/>
          <w:sz w:val="24"/>
          <w:szCs w:val="24"/>
          <w:lang w:val="en-US" w:eastAsia="zh-CN" w:bidi="ar-SA"/>
        </w:rPr>
        <w:t>包括但不限于</w:t>
      </w:r>
      <w:r>
        <w:rPr>
          <w:rFonts w:hint="default" w:ascii="Times New Roman" w:hAnsi="Times New Roman" w:eastAsia="方正仿宋_GBK" w:cs="Times New Roman"/>
          <w:color w:val="000000"/>
          <w:sz w:val="24"/>
          <w:szCs w:val="24"/>
          <w:lang w:val="en-US" w:eastAsia="zh-CN" w:bidi="ar-SA"/>
        </w:rPr>
        <w:t>：机油、机滤、空滤、柴滤更换；防冻液补加；烟尘处理器滤芯清洗）总体更换，30天内完成。</w:t>
      </w:r>
    </w:p>
    <w:p w14:paraId="05D4265B">
      <w:pPr>
        <w:widowControl w:val="0"/>
        <w:numPr>
          <w:ilvl w:val="0"/>
          <w:numId w:val="0"/>
        </w:numPr>
        <w:spacing w:line="560" w:lineRule="exact"/>
        <w:ind w:firstLine="480" w:firstLineChars="200"/>
        <w:jc w:val="left"/>
        <w:rPr>
          <w:rFonts w:hint="default" w:ascii="Times New Roman" w:hAnsi="Times New Roman" w:eastAsia="方正仿宋_GBK" w:cs="Times New Roman"/>
          <w:color w:val="000000"/>
          <w:sz w:val="24"/>
          <w:szCs w:val="24"/>
          <w:lang w:val="en-US" w:eastAsia="zh-CN" w:bidi="ar-SA"/>
        </w:rPr>
      </w:pPr>
      <w:r>
        <w:rPr>
          <w:rFonts w:hint="default" w:ascii="Times New Roman" w:hAnsi="Times New Roman" w:eastAsia="方正仿宋_GBK" w:cs="Times New Roman"/>
          <w:color w:val="000000"/>
          <w:sz w:val="24"/>
          <w:szCs w:val="24"/>
          <w:lang w:val="en-US" w:eastAsia="zh-CN" w:bidi="ar-SA"/>
        </w:rPr>
        <w:t>4、现场人员培训时间为2天。</w:t>
      </w:r>
    </w:p>
    <w:p w14:paraId="58C82AF5">
      <w:pPr>
        <w:pStyle w:val="3"/>
        <w:spacing w:before="0" w:after="0" w:line="560" w:lineRule="exact"/>
        <w:ind w:firstLine="482" w:firstLineChars="200"/>
        <w:jc w:val="left"/>
        <w:rPr>
          <w:rFonts w:hint="default" w:ascii="Times New Roman" w:hAnsi="Times New Roman" w:eastAsia="方正仿宋_GBK" w:cs="Times New Roman"/>
          <w:sz w:val="24"/>
          <w:szCs w:val="24"/>
          <w:lang w:eastAsia="zh-CN"/>
        </w:rPr>
      </w:pPr>
      <w:bookmarkStart w:id="186" w:name="_Toc139025203"/>
      <w:bookmarkStart w:id="187" w:name="_Toc137543721"/>
      <w:bookmarkStart w:id="188" w:name="_Toc139025147"/>
      <w:r>
        <w:rPr>
          <w:rFonts w:hint="default" w:ascii="Times New Roman" w:hAnsi="Times New Roman" w:eastAsia="方正仿宋_GBK" w:cs="Times New Roman"/>
          <w:sz w:val="24"/>
          <w:szCs w:val="24"/>
        </w:rPr>
        <w:t>5</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其他要求</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b w:val="0"/>
          <w:bCs w:val="0"/>
          <w:sz w:val="24"/>
          <w:szCs w:val="24"/>
        </w:rPr>
        <w:t>在维保期内，成交供应商</w:t>
      </w:r>
      <w:r>
        <w:rPr>
          <w:rFonts w:hint="eastAsia" w:ascii="Times New Roman" w:hAnsi="Times New Roman" w:eastAsia="方正仿宋_GBK" w:cs="Times New Roman"/>
          <w:b w:val="0"/>
          <w:bCs w:val="0"/>
          <w:sz w:val="24"/>
          <w:szCs w:val="24"/>
          <w:lang w:val="en-US" w:eastAsia="zh-CN"/>
        </w:rPr>
        <w:t>须</w:t>
      </w:r>
      <w:r>
        <w:rPr>
          <w:rFonts w:hint="default" w:ascii="Times New Roman" w:hAnsi="Times New Roman" w:eastAsia="方正仿宋_GBK" w:cs="Times New Roman"/>
          <w:b w:val="0"/>
          <w:bCs w:val="0"/>
          <w:sz w:val="24"/>
          <w:szCs w:val="24"/>
        </w:rPr>
        <w:t>自备皮卡专用作业车辆，保障维保期间巡检、维修、转运物资等工作正常开展</w:t>
      </w:r>
      <w:r>
        <w:rPr>
          <w:rFonts w:hint="default" w:ascii="Times New Roman" w:hAnsi="Times New Roman" w:eastAsia="方正仿宋_GBK" w:cs="Times New Roman"/>
          <w:sz w:val="24"/>
          <w:szCs w:val="24"/>
        </w:rPr>
        <w:t>。</w:t>
      </w:r>
    </w:p>
    <w:p w14:paraId="1BC198A8">
      <w:pPr>
        <w:pStyle w:val="3"/>
        <w:spacing w:before="0" w:after="0" w:line="560" w:lineRule="exact"/>
        <w:ind w:firstLine="482" w:firstLineChars="20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五</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技术要求</w:t>
      </w:r>
      <w:bookmarkEnd w:id="186"/>
      <w:bookmarkEnd w:id="187"/>
      <w:bookmarkEnd w:id="188"/>
    </w:p>
    <w:p w14:paraId="5263643F">
      <w:pPr>
        <w:pStyle w:val="4"/>
        <w:spacing w:before="0" w:after="0" w:line="560" w:lineRule="exact"/>
        <w:ind w:firstLine="482" w:firstLineChars="200"/>
        <w:jc w:val="left"/>
        <w:rPr>
          <w:rFonts w:hint="default" w:ascii="Times New Roman" w:hAnsi="Times New Roman" w:eastAsia="方正仿宋_GBK" w:cs="Times New Roman"/>
          <w:sz w:val="24"/>
          <w:szCs w:val="24"/>
        </w:rPr>
      </w:pPr>
      <w:bookmarkStart w:id="189" w:name="_Toc137543722"/>
      <w:r>
        <w:rPr>
          <w:rFonts w:hint="default" w:ascii="Times New Roman" w:hAnsi="Times New Roman" w:eastAsia="方正仿宋_GBK" w:cs="Times New Roman"/>
          <w:sz w:val="24"/>
          <w:szCs w:val="24"/>
        </w:rPr>
        <w:t>1、技术支持服务日常维护方案的依据和总体技术要求</w:t>
      </w:r>
      <w:bookmarkEnd w:id="189"/>
    </w:p>
    <w:p w14:paraId="52D86426">
      <w:pPr>
        <w:numPr>
          <w:ilvl w:val="0"/>
          <w:numId w:val="0"/>
        </w:numPr>
        <w:spacing w:line="560" w:lineRule="exact"/>
        <w:ind w:leftChars="0" w:firstLine="480" w:firstLineChars="20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维护体系参考标准：</w:t>
      </w:r>
    </w:p>
    <w:tbl>
      <w:tblPr>
        <w:tblStyle w:val="21"/>
        <w:tblW w:w="81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06"/>
        <w:gridCol w:w="5654"/>
      </w:tblGrid>
      <w:tr w14:paraId="3B3E9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51337A7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GB755-2008</w:t>
            </w:r>
          </w:p>
        </w:tc>
        <w:tc>
          <w:tcPr>
            <w:tcW w:w="5654" w:type="dxa"/>
            <w:vAlign w:val="center"/>
          </w:tcPr>
          <w:p w14:paraId="5A5176EB">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《旋转电机定额和性能》</w:t>
            </w:r>
          </w:p>
        </w:tc>
      </w:tr>
      <w:tr w14:paraId="424C6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05954450">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GB/T 2820-2009</w:t>
            </w:r>
          </w:p>
        </w:tc>
        <w:tc>
          <w:tcPr>
            <w:tcW w:w="5654" w:type="dxa"/>
            <w:vAlign w:val="center"/>
          </w:tcPr>
          <w:p w14:paraId="3159B348">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《往复式内燃机驱动的交流发电机组》</w:t>
            </w:r>
          </w:p>
        </w:tc>
      </w:tr>
      <w:tr w14:paraId="0ABE5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14FA784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GB50174-2017</w:t>
            </w:r>
          </w:p>
        </w:tc>
        <w:tc>
          <w:tcPr>
            <w:tcW w:w="5654" w:type="dxa"/>
            <w:vAlign w:val="center"/>
          </w:tcPr>
          <w:p w14:paraId="15D6F00F">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《数据中心设计规范》  </w:t>
            </w:r>
          </w:p>
        </w:tc>
      </w:tr>
      <w:tr w14:paraId="280B1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7C1D24B2">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GB50462-2008</w:t>
            </w:r>
          </w:p>
        </w:tc>
        <w:tc>
          <w:tcPr>
            <w:tcW w:w="5654" w:type="dxa"/>
            <w:vAlign w:val="center"/>
          </w:tcPr>
          <w:p w14:paraId="4D8AF9BC">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《电子信息系统机房施工及验收规范》</w:t>
            </w:r>
          </w:p>
        </w:tc>
      </w:tr>
      <w:tr w14:paraId="40D9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030618FB">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GB50054-2011</w:t>
            </w:r>
          </w:p>
        </w:tc>
        <w:tc>
          <w:tcPr>
            <w:tcW w:w="5654" w:type="dxa"/>
            <w:vAlign w:val="center"/>
          </w:tcPr>
          <w:p w14:paraId="797EFE24">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《低压配电设计规范》</w:t>
            </w:r>
          </w:p>
        </w:tc>
      </w:tr>
      <w:tr w14:paraId="0C9D3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7A3146C8">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YD5059-2005</w:t>
            </w:r>
          </w:p>
        </w:tc>
        <w:tc>
          <w:tcPr>
            <w:tcW w:w="5654" w:type="dxa"/>
            <w:vAlign w:val="center"/>
          </w:tcPr>
          <w:p w14:paraId="663149A3">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《通信电源设备安装设计规范》</w:t>
            </w:r>
          </w:p>
        </w:tc>
      </w:tr>
      <w:tr w14:paraId="6BA22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5CC5CFC5">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GB50052-2009</w:t>
            </w:r>
          </w:p>
        </w:tc>
        <w:tc>
          <w:tcPr>
            <w:tcW w:w="5654" w:type="dxa"/>
            <w:vAlign w:val="center"/>
          </w:tcPr>
          <w:p w14:paraId="5E5698F2">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《供配电系统设计规范》</w:t>
            </w:r>
          </w:p>
        </w:tc>
      </w:tr>
      <w:tr w14:paraId="40BBF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1F7246FF">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GB50217-2007</w:t>
            </w:r>
          </w:p>
        </w:tc>
        <w:tc>
          <w:tcPr>
            <w:tcW w:w="5654" w:type="dxa"/>
            <w:vAlign w:val="center"/>
          </w:tcPr>
          <w:p w14:paraId="2F056F6D">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《电力工程电缆设计规范》</w:t>
            </w:r>
          </w:p>
        </w:tc>
      </w:tr>
      <w:tr w14:paraId="37286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79B58AAA">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GB50060-2007</w:t>
            </w:r>
          </w:p>
        </w:tc>
        <w:tc>
          <w:tcPr>
            <w:tcW w:w="5654" w:type="dxa"/>
            <w:vAlign w:val="center"/>
          </w:tcPr>
          <w:p w14:paraId="592CC1E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《3-110kV高压配电装置设计规范》</w:t>
            </w:r>
          </w:p>
        </w:tc>
      </w:tr>
      <w:tr w14:paraId="75559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54D49EFF">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GB3096-2008</w:t>
            </w:r>
          </w:p>
        </w:tc>
        <w:tc>
          <w:tcPr>
            <w:tcW w:w="5654" w:type="dxa"/>
            <w:vAlign w:val="center"/>
          </w:tcPr>
          <w:p w14:paraId="41D5A8F5">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《声环境质量标准》</w:t>
            </w:r>
          </w:p>
        </w:tc>
      </w:tr>
      <w:tr w14:paraId="162DD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46FB4E2E">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GB12348-2008</w:t>
            </w:r>
          </w:p>
        </w:tc>
        <w:tc>
          <w:tcPr>
            <w:tcW w:w="5654" w:type="dxa"/>
            <w:vAlign w:val="center"/>
          </w:tcPr>
          <w:p w14:paraId="5EBEAACE">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《工业企业厂界环境噪声排放标准》</w:t>
            </w:r>
          </w:p>
        </w:tc>
      </w:tr>
      <w:tr w14:paraId="08DE6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19AFD00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GB16297-1996</w:t>
            </w:r>
          </w:p>
        </w:tc>
        <w:tc>
          <w:tcPr>
            <w:tcW w:w="5654" w:type="dxa"/>
            <w:vAlign w:val="center"/>
          </w:tcPr>
          <w:p w14:paraId="004B1053">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《大气污染物综合排放标准》</w:t>
            </w:r>
          </w:p>
        </w:tc>
      </w:tr>
      <w:tr w14:paraId="0B2C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744328FA">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15D202-2</w:t>
            </w:r>
          </w:p>
        </w:tc>
        <w:tc>
          <w:tcPr>
            <w:tcW w:w="5654" w:type="dxa"/>
            <w:vAlign w:val="center"/>
          </w:tcPr>
          <w:p w14:paraId="5C88D271">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《柴油发电机组设计与安装》</w:t>
            </w:r>
          </w:p>
        </w:tc>
      </w:tr>
      <w:tr w14:paraId="2D880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0F15E71E">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GB50736-2012</w:t>
            </w:r>
          </w:p>
        </w:tc>
        <w:tc>
          <w:tcPr>
            <w:tcW w:w="5654" w:type="dxa"/>
            <w:vAlign w:val="center"/>
          </w:tcPr>
          <w:p w14:paraId="260DD0EA">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《民用建筑供暖通风与空气调节设计规范》</w:t>
            </w:r>
          </w:p>
        </w:tc>
      </w:tr>
      <w:tr w14:paraId="5C2DC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2DB3BA2A">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GB50016-2014</w:t>
            </w:r>
          </w:p>
        </w:tc>
        <w:tc>
          <w:tcPr>
            <w:tcW w:w="5654" w:type="dxa"/>
            <w:vAlign w:val="center"/>
          </w:tcPr>
          <w:p w14:paraId="7522C498">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《建筑设计防火规范》</w:t>
            </w:r>
          </w:p>
        </w:tc>
      </w:tr>
      <w:tr w14:paraId="17EDC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2EC915F6">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GB50264-2013</w:t>
            </w:r>
          </w:p>
        </w:tc>
        <w:tc>
          <w:tcPr>
            <w:tcW w:w="5654" w:type="dxa"/>
            <w:vAlign w:val="center"/>
          </w:tcPr>
          <w:p w14:paraId="488897B3">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《工业设备及管道绝热工程设计规范》</w:t>
            </w:r>
          </w:p>
        </w:tc>
      </w:tr>
      <w:tr w14:paraId="7EB4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506" w:type="dxa"/>
            <w:vAlign w:val="center"/>
          </w:tcPr>
          <w:p w14:paraId="78FCA560">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GB/T51314-2018</w:t>
            </w:r>
          </w:p>
        </w:tc>
        <w:tc>
          <w:tcPr>
            <w:tcW w:w="5654" w:type="dxa"/>
            <w:vAlign w:val="center"/>
          </w:tcPr>
          <w:p w14:paraId="7F30E02C">
            <w:pPr>
              <w:spacing w:line="48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《数据中心基础设施运行维护标准》</w:t>
            </w:r>
          </w:p>
        </w:tc>
      </w:tr>
    </w:tbl>
    <w:p w14:paraId="150C7C6C">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根据</w:t>
      </w:r>
      <w:r>
        <w:rPr>
          <w:rFonts w:hint="eastAsia" w:ascii="Times New Roman" w:hAnsi="Times New Roman" w:eastAsia="方正仿宋_GBK" w:cs="Times New Roman"/>
          <w:color w:val="auto"/>
          <w:sz w:val="24"/>
          <w:szCs w:val="24"/>
          <w:lang w:eastAsia="zh-CN"/>
        </w:rPr>
        <w:t>住房和城乡建设部</w:t>
      </w:r>
      <w:r>
        <w:rPr>
          <w:rFonts w:hint="default" w:ascii="Times New Roman" w:hAnsi="Times New Roman" w:eastAsia="方正仿宋_GBK" w:cs="Times New Roman"/>
          <w:color w:val="auto"/>
          <w:sz w:val="24"/>
          <w:szCs w:val="24"/>
        </w:rPr>
        <w:t>发布</w:t>
      </w:r>
      <w:bookmarkStart w:id="190" w:name="_Hlk131604521"/>
      <w:r>
        <w:rPr>
          <w:rFonts w:hint="default" w:ascii="Times New Roman" w:hAnsi="Times New Roman" w:eastAsia="方正仿宋_GBK" w:cs="Times New Roman"/>
          <w:color w:val="auto"/>
          <w:sz w:val="24"/>
          <w:szCs w:val="24"/>
        </w:rPr>
        <w:t>《数据中心基础设施运行维护标准》 GB/T51314-2018</w:t>
      </w:r>
      <w:bookmarkEnd w:id="190"/>
      <w:r>
        <w:rPr>
          <w:rFonts w:hint="default" w:ascii="Times New Roman" w:hAnsi="Times New Roman" w:eastAsia="方正仿宋_GBK" w:cs="Times New Roman"/>
          <w:color w:val="auto"/>
          <w:sz w:val="24"/>
          <w:szCs w:val="24"/>
        </w:rPr>
        <w:t>的基本要求：对机房应急保障供电系统产品的运行、维护、制度、管理四方面全面落实有关体系文件。</w:t>
      </w:r>
    </w:p>
    <w:p w14:paraId="6AFE0C81">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协助</w:t>
      </w:r>
      <w:r>
        <w:rPr>
          <w:rFonts w:hint="default" w:ascii="Times New Roman" w:hAnsi="Times New Roman" w:eastAsia="方正仿宋_GBK" w:cs="Times New Roman"/>
          <w:color w:val="auto"/>
          <w:sz w:val="24"/>
          <w:szCs w:val="24"/>
          <w:lang w:val="en-US" w:eastAsia="zh-CN"/>
        </w:rPr>
        <w:t>采购人</w:t>
      </w:r>
      <w:r>
        <w:rPr>
          <w:rFonts w:hint="default" w:ascii="Times New Roman" w:hAnsi="Times New Roman" w:eastAsia="方正仿宋_GBK" w:cs="Times New Roman"/>
          <w:color w:val="auto"/>
          <w:sz w:val="24"/>
          <w:szCs w:val="24"/>
        </w:rPr>
        <w:t>编制体系文件工作，使</w:t>
      </w:r>
      <w:r>
        <w:rPr>
          <w:rFonts w:hint="default" w:ascii="Times New Roman" w:hAnsi="Times New Roman" w:eastAsia="方正仿宋_GBK" w:cs="Times New Roman"/>
          <w:color w:val="auto"/>
          <w:sz w:val="24"/>
          <w:szCs w:val="24"/>
          <w:lang w:val="en-US" w:eastAsia="zh-CN"/>
        </w:rPr>
        <w:t>采购人</w:t>
      </w:r>
      <w:r>
        <w:rPr>
          <w:rFonts w:hint="default" w:ascii="Times New Roman" w:hAnsi="Times New Roman" w:eastAsia="方正仿宋_GBK" w:cs="Times New Roman"/>
          <w:color w:val="auto"/>
          <w:sz w:val="24"/>
          <w:szCs w:val="24"/>
        </w:rPr>
        <w:t>具备优化和修订体系文件的能力。服务期内，培养</w:t>
      </w:r>
      <w:r>
        <w:rPr>
          <w:rFonts w:hint="default" w:ascii="Times New Roman" w:hAnsi="Times New Roman" w:eastAsia="方正仿宋_GBK" w:cs="Times New Roman"/>
          <w:color w:val="auto"/>
          <w:sz w:val="24"/>
          <w:szCs w:val="24"/>
          <w:lang w:val="en-US" w:eastAsia="zh-CN"/>
        </w:rPr>
        <w:t>采购</w:t>
      </w:r>
      <w:r>
        <w:rPr>
          <w:rFonts w:hint="eastAsia" w:ascii="Times New Roman" w:hAnsi="Times New Roman" w:eastAsia="方正仿宋_GBK" w:cs="Times New Roman"/>
          <w:color w:val="auto"/>
          <w:sz w:val="24"/>
          <w:szCs w:val="24"/>
          <w:lang w:val="en-US" w:eastAsia="zh-CN"/>
        </w:rPr>
        <w:t>人</w:t>
      </w:r>
      <w:r>
        <w:rPr>
          <w:rFonts w:hint="default" w:ascii="Times New Roman" w:hAnsi="Times New Roman" w:eastAsia="方正仿宋_GBK" w:cs="Times New Roman"/>
          <w:color w:val="auto"/>
          <w:sz w:val="24"/>
          <w:szCs w:val="24"/>
        </w:rPr>
        <w:t>运维人员具备独立维护、应急处置能力。</w:t>
      </w:r>
    </w:p>
    <w:p w14:paraId="61251460">
      <w:pPr>
        <w:pStyle w:val="4"/>
        <w:spacing w:before="0" w:after="0" w:line="560" w:lineRule="exact"/>
        <w:ind w:firstLine="482" w:firstLineChars="200"/>
        <w:jc w:val="left"/>
        <w:rPr>
          <w:rFonts w:hint="default" w:ascii="Times New Roman" w:hAnsi="Times New Roman" w:eastAsia="方正仿宋_GBK" w:cs="Times New Roman"/>
          <w:sz w:val="24"/>
          <w:szCs w:val="24"/>
        </w:rPr>
      </w:pPr>
      <w:bookmarkStart w:id="191" w:name="_Toc137543723"/>
      <w:bookmarkStart w:id="192" w:name="_Hlk131585124"/>
      <w:r>
        <w:rPr>
          <w:rFonts w:hint="default" w:ascii="Times New Roman" w:hAnsi="Times New Roman" w:eastAsia="方正仿宋_GBK" w:cs="Times New Roman"/>
          <w:sz w:val="24"/>
          <w:szCs w:val="24"/>
        </w:rPr>
        <w:t>2、体系文件建设的技术要求</w:t>
      </w:r>
      <w:bookmarkEnd w:id="191"/>
    </w:p>
    <w:p w14:paraId="1DB463CF">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1）协助</w:t>
      </w:r>
      <w:r>
        <w:rPr>
          <w:rFonts w:hint="eastAsia" w:ascii="Times New Roman" w:hAnsi="Times New Roman" w:eastAsia="方正仿宋_GBK" w:cs="Times New Roman"/>
          <w:color w:val="auto"/>
          <w:sz w:val="24"/>
          <w:szCs w:val="24"/>
          <w:lang w:val="en-US" w:eastAsia="zh-CN"/>
        </w:rPr>
        <w:t>采购人</w:t>
      </w:r>
      <w:r>
        <w:rPr>
          <w:rFonts w:hint="default" w:ascii="Times New Roman" w:hAnsi="Times New Roman" w:eastAsia="方正仿宋_GBK" w:cs="Times New Roman"/>
          <w:color w:val="auto"/>
          <w:sz w:val="24"/>
          <w:szCs w:val="24"/>
        </w:rPr>
        <w:t>运维体系文件编制、修改，满足GB/T51314-2018规范要求；</w:t>
      </w:r>
    </w:p>
    <w:p w14:paraId="116E3448">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2）重点要求提供机房应急保障供电技术支持服务年度维护计划总表；</w:t>
      </w:r>
    </w:p>
    <w:p w14:paraId="3AC1DD13">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3）提供机房应急保障供电技术支持服务各个专业产品和系统技术文档。从产品、系统的运行、巡检、故障记录、例行维护、保养维护、预测维护、故障处理来落实文件的编制。</w:t>
      </w:r>
    </w:p>
    <w:p w14:paraId="18ED754E">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①</w:t>
      </w:r>
      <w:r>
        <w:rPr>
          <w:rFonts w:hint="default" w:ascii="Times New Roman" w:hAnsi="Times New Roman" w:eastAsia="方正仿宋_GBK" w:cs="Times New Roman"/>
          <w:color w:val="auto"/>
          <w:sz w:val="24"/>
          <w:szCs w:val="24"/>
        </w:rPr>
        <w:t>编制的执行标准：先设备后系统，每个系统对应多样产品。</w:t>
      </w:r>
    </w:p>
    <w:p w14:paraId="3C945B51">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②</w:t>
      </w:r>
      <w:r>
        <w:rPr>
          <w:rFonts w:hint="default" w:ascii="Times New Roman" w:hAnsi="Times New Roman" w:eastAsia="方正仿宋_GBK" w:cs="Times New Roman"/>
          <w:color w:val="auto"/>
          <w:sz w:val="24"/>
          <w:szCs w:val="24"/>
        </w:rPr>
        <w:t>编制具体内容要求：设备系统组成、设备工作原理、关键器件、设备系统运行、巡检、</w:t>
      </w:r>
      <w:r>
        <w:rPr>
          <w:rFonts w:hint="eastAsia" w:ascii="Times New Roman" w:hAnsi="Times New Roman" w:eastAsia="方正仿宋_GBK" w:cs="Times New Roman"/>
          <w:color w:val="auto"/>
          <w:sz w:val="24"/>
          <w:szCs w:val="24"/>
          <w:lang w:eastAsia="zh-CN"/>
        </w:rPr>
        <w:t>故障查阅</w:t>
      </w:r>
      <w:r>
        <w:rPr>
          <w:rFonts w:hint="default" w:ascii="Times New Roman" w:hAnsi="Times New Roman" w:eastAsia="方正仿宋_GBK" w:cs="Times New Roman"/>
          <w:color w:val="auto"/>
          <w:sz w:val="24"/>
          <w:szCs w:val="24"/>
        </w:rPr>
        <w:t>、例行维护、保养维护、预防维护、预测维护、故障处理。</w:t>
      </w:r>
    </w:p>
    <w:p w14:paraId="1538D63E">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③</w:t>
      </w:r>
      <w:r>
        <w:rPr>
          <w:rFonts w:hint="default" w:ascii="Times New Roman" w:hAnsi="Times New Roman" w:eastAsia="方正仿宋_GBK" w:cs="Times New Roman"/>
          <w:color w:val="auto"/>
          <w:sz w:val="24"/>
          <w:szCs w:val="24"/>
        </w:rPr>
        <w:t>协助文件编制、修改、管理人员审阅、会审、批准和存档</w:t>
      </w:r>
    </w:p>
    <w:p w14:paraId="0E0E7F33">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sz w:val="24"/>
          <w:szCs w:val="24"/>
          <w:lang w:val="en-US" w:eastAsia="zh-CN"/>
        </w:rPr>
        <w:t>④</w:t>
      </w:r>
      <w:r>
        <w:rPr>
          <w:rFonts w:hint="default" w:ascii="Times New Roman" w:hAnsi="Times New Roman" w:eastAsia="方正仿宋_GBK" w:cs="Times New Roman"/>
          <w:sz w:val="24"/>
          <w:szCs w:val="24"/>
        </w:rPr>
        <w:t>产</w:t>
      </w:r>
      <w:r>
        <w:rPr>
          <w:rFonts w:hint="default" w:ascii="Times New Roman" w:hAnsi="Times New Roman" w:eastAsia="方正仿宋_GBK" w:cs="Times New Roman"/>
          <w:color w:val="auto"/>
          <w:sz w:val="24"/>
          <w:szCs w:val="24"/>
        </w:rPr>
        <w:t>品和系统的运行方案和维护方案服务详细项目要求</w:t>
      </w:r>
    </w:p>
    <w:p w14:paraId="79DC70B2">
      <w:pPr>
        <w:pStyle w:val="4"/>
        <w:spacing w:before="0" w:after="0" w:line="560" w:lineRule="exact"/>
        <w:ind w:firstLine="482" w:firstLineChars="200"/>
        <w:jc w:val="left"/>
        <w:rPr>
          <w:rFonts w:hint="default" w:ascii="Times New Roman" w:hAnsi="Times New Roman" w:eastAsia="方正仿宋_GBK" w:cs="Times New Roman"/>
          <w:sz w:val="24"/>
          <w:szCs w:val="24"/>
        </w:rPr>
      </w:pPr>
      <w:bookmarkStart w:id="193" w:name="_Toc137543724"/>
      <w:r>
        <w:rPr>
          <w:rFonts w:hint="default" w:ascii="Times New Roman" w:hAnsi="Times New Roman" w:eastAsia="方正仿宋_GBK" w:cs="Times New Roman"/>
          <w:sz w:val="24"/>
          <w:szCs w:val="24"/>
        </w:rPr>
        <w:t>3、人员培训培养的技术要求</w:t>
      </w:r>
      <w:bookmarkEnd w:id="193"/>
    </w:p>
    <w:bookmarkEnd w:id="192"/>
    <w:p w14:paraId="09364E72">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1）掌握机房柴油发电机工程系统容量、送电、配电、中压柜配置；</w:t>
      </w:r>
    </w:p>
    <w:p w14:paraId="7E68C5D3">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2）熟悉机房柴油发电机组工程高压供配电结构、特征及具体应用；</w:t>
      </w:r>
    </w:p>
    <w:p w14:paraId="5E8AFF16">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3）掌握低压配电系统的组成和配置，熟悉开关的特性和用途；</w:t>
      </w:r>
    </w:p>
    <w:p w14:paraId="049AAA7A">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4）深入掌握柴油发电机工程系统特性，并逐步优化维护方法；</w:t>
      </w:r>
    </w:p>
    <w:p w14:paraId="7C63F0AA">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5）了解柴油发电机组并联运行及自动供油系统结构和作用；</w:t>
      </w:r>
    </w:p>
    <w:p w14:paraId="1A56E4F7">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6）通过研讨辩论方式、机房现场讲解方式，深度分析机房柴油发电机工程系统维护和管理中遇到的疑难问题；</w:t>
      </w:r>
    </w:p>
    <w:p w14:paraId="110EA73C">
      <w:pPr>
        <w:keepNext w:val="0"/>
        <w:keepLines w:val="0"/>
        <w:pageBreakBefore w:val="0"/>
        <w:widowControl w:val="0"/>
        <w:kinsoku/>
        <w:wordWrap/>
        <w:overflowPunct/>
        <w:topLinePunct w:val="0"/>
        <w:autoSpaceDE w:val="0"/>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提供服务方案时需提供技术培训课程表</w:t>
      </w:r>
    </w:p>
    <w:tbl>
      <w:tblPr>
        <w:tblStyle w:val="21"/>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7342"/>
      </w:tblGrid>
      <w:tr w14:paraId="6ED6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2CC53A87">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序号</w:t>
            </w:r>
          </w:p>
        </w:tc>
        <w:tc>
          <w:tcPr>
            <w:tcW w:w="7342" w:type="dxa"/>
            <w:vAlign w:val="center"/>
          </w:tcPr>
          <w:p w14:paraId="5BEE3E5B">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培训内容</w:t>
            </w:r>
          </w:p>
        </w:tc>
      </w:tr>
      <w:tr w14:paraId="6FF0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7F3AD278">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w:t>
            </w:r>
          </w:p>
        </w:tc>
        <w:tc>
          <w:tcPr>
            <w:tcW w:w="7342" w:type="dxa"/>
            <w:vAlign w:val="center"/>
          </w:tcPr>
          <w:p w14:paraId="30EA8A7C">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lang w:val="en-US" w:eastAsia="zh-CN"/>
              </w:rPr>
            </w:pPr>
            <w:r>
              <w:rPr>
                <w:rFonts w:hint="default" w:ascii="Times New Roman" w:hAnsi="Times New Roman" w:eastAsia="方正仿宋_GBK" w:cs="Times New Roman"/>
                <w:color w:val="000000"/>
                <w:kern w:val="0"/>
                <w:sz w:val="24"/>
                <w:szCs w:val="24"/>
                <w:lang w:val="en-US" w:eastAsia="zh-CN"/>
              </w:rPr>
              <w:t>启停操作</w:t>
            </w:r>
          </w:p>
        </w:tc>
      </w:tr>
      <w:tr w14:paraId="1E8A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40269471">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w:t>
            </w:r>
          </w:p>
        </w:tc>
        <w:tc>
          <w:tcPr>
            <w:tcW w:w="7342" w:type="dxa"/>
            <w:vAlign w:val="center"/>
          </w:tcPr>
          <w:p w14:paraId="72823591">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lang w:val="en-US" w:eastAsia="zh-CN"/>
              </w:rPr>
            </w:pPr>
            <w:r>
              <w:rPr>
                <w:rFonts w:hint="default" w:ascii="Times New Roman" w:hAnsi="Times New Roman" w:eastAsia="方正仿宋_GBK" w:cs="Times New Roman"/>
                <w:color w:val="000000"/>
                <w:kern w:val="0"/>
                <w:sz w:val="24"/>
                <w:szCs w:val="24"/>
                <w:lang w:val="en-US" w:eastAsia="zh-CN"/>
              </w:rPr>
              <w:t>普通故障排除</w:t>
            </w:r>
          </w:p>
        </w:tc>
      </w:tr>
      <w:tr w14:paraId="2655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385CFCE2">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lang w:eastAsia="zh-CN"/>
              </w:rPr>
            </w:pPr>
            <w:r>
              <w:rPr>
                <w:rFonts w:hint="default" w:ascii="Times New Roman" w:hAnsi="Times New Roman" w:eastAsia="方正仿宋_GBK" w:cs="Times New Roman"/>
                <w:color w:val="000000"/>
                <w:kern w:val="0"/>
                <w:sz w:val="24"/>
                <w:szCs w:val="24"/>
                <w:lang w:val="en-US" w:eastAsia="zh-CN"/>
              </w:rPr>
              <w:t>3</w:t>
            </w:r>
          </w:p>
        </w:tc>
        <w:tc>
          <w:tcPr>
            <w:tcW w:w="7342" w:type="dxa"/>
            <w:vAlign w:val="center"/>
          </w:tcPr>
          <w:p w14:paraId="5098A644">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问题讨论/结业考试</w:t>
            </w:r>
          </w:p>
        </w:tc>
      </w:tr>
    </w:tbl>
    <w:p w14:paraId="5E823923">
      <w:pPr>
        <w:autoSpaceDE w:val="0"/>
        <w:spacing w:line="560" w:lineRule="exact"/>
        <w:ind w:firstLine="480" w:firstLineChars="20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7）</w:t>
      </w:r>
      <w:r>
        <w:rPr>
          <w:rFonts w:hint="default" w:ascii="Times New Roman" w:hAnsi="Times New Roman" w:eastAsia="方正仿宋_GBK" w:cs="Times New Roman"/>
          <w:color w:val="auto"/>
          <w:sz w:val="24"/>
          <w:szCs w:val="24"/>
        </w:rPr>
        <w:t>根据机房应急保障供电-柴油发电机工程系统特点，提供安全培训，包括但不限于如下内容：</w:t>
      </w:r>
    </w:p>
    <w:tbl>
      <w:tblPr>
        <w:tblStyle w:val="21"/>
        <w:tblW w:w="907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796"/>
      </w:tblGrid>
      <w:tr w14:paraId="5E1A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7AD2D5E6">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序号</w:t>
            </w:r>
          </w:p>
        </w:tc>
        <w:tc>
          <w:tcPr>
            <w:tcW w:w="7796" w:type="dxa"/>
            <w:vAlign w:val="center"/>
          </w:tcPr>
          <w:p w14:paraId="32795297">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详细内容</w:t>
            </w:r>
          </w:p>
        </w:tc>
      </w:tr>
      <w:tr w14:paraId="1856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60195EFC">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w:t>
            </w:r>
          </w:p>
        </w:tc>
        <w:tc>
          <w:tcPr>
            <w:tcW w:w="7796" w:type="dxa"/>
            <w:vAlign w:val="center"/>
          </w:tcPr>
          <w:p w14:paraId="420EB8C6">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机房安全培训</w:t>
            </w:r>
          </w:p>
        </w:tc>
      </w:tr>
      <w:tr w14:paraId="4307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6C095E71">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w:t>
            </w:r>
          </w:p>
        </w:tc>
        <w:tc>
          <w:tcPr>
            <w:tcW w:w="7796" w:type="dxa"/>
            <w:vAlign w:val="center"/>
          </w:tcPr>
          <w:p w14:paraId="267987F0">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燃油储存的危险</w:t>
            </w:r>
          </w:p>
        </w:tc>
      </w:tr>
      <w:tr w14:paraId="1081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51818C6F">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3</w:t>
            </w:r>
          </w:p>
        </w:tc>
        <w:tc>
          <w:tcPr>
            <w:tcW w:w="7796" w:type="dxa"/>
            <w:vAlign w:val="center"/>
          </w:tcPr>
          <w:p w14:paraId="3F7FF8C0">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电气安全培训</w:t>
            </w:r>
          </w:p>
        </w:tc>
      </w:tr>
      <w:tr w14:paraId="2DB6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3EF780BC">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4</w:t>
            </w:r>
          </w:p>
        </w:tc>
        <w:tc>
          <w:tcPr>
            <w:tcW w:w="7796" w:type="dxa"/>
            <w:vAlign w:val="center"/>
          </w:tcPr>
          <w:p w14:paraId="09A759E1">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电弧安全与防护</w:t>
            </w:r>
          </w:p>
        </w:tc>
      </w:tr>
      <w:tr w14:paraId="6144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0A072226">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7</w:t>
            </w:r>
          </w:p>
        </w:tc>
        <w:tc>
          <w:tcPr>
            <w:tcW w:w="7796" w:type="dxa"/>
            <w:vAlign w:val="center"/>
          </w:tcPr>
          <w:p w14:paraId="67A85D3D">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事故案例安全培训</w:t>
            </w:r>
          </w:p>
        </w:tc>
      </w:tr>
      <w:tr w14:paraId="4E7B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4804149D">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8</w:t>
            </w:r>
          </w:p>
        </w:tc>
        <w:tc>
          <w:tcPr>
            <w:tcW w:w="7796" w:type="dxa"/>
            <w:vAlign w:val="center"/>
          </w:tcPr>
          <w:p w14:paraId="31BC195E">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火灾与日常消防管理</w:t>
            </w:r>
          </w:p>
        </w:tc>
      </w:tr>
      <w:tr w14:paraId="30DF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468060E2">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9</w:t>
            </w:r>
          </w:p>
        </w:tc>
        <w:tc>
          <w:tcPr>
            <w:tcW w:w="7796" w:type="dxa"/>
            <w:vAlign w:val="center"/>
          </w:tcPr>
          <w:p w14:paraId="3C815816">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危险源识别</w:t>
            </w:r>
          </w:p>
        </w:tc>
      </w:tr>
      <w:tr w14:paraId="6805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4B95E94D">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10</w:t>
            </w:r>
          </w:p>
        </w:tc>
        <w:tc>
          <w:tcPr>
            <w:tcW w:w="7796" w:type="dxa"/>
            <w:vAlign w:val="center"/>
          </w:tcPr>
          <w:p w14:paraId="54F8B83D">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运维机房安全管理制度</w:t>
            </w:r>
          </w:p>
        </w:tc>
      </w:tr>
      <w:tr w14:paraId="3F35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14:paraId="71DEE40C">
            <w:pPr>
              <w:autoSpaceDE/>
              <w:autoSpaceDN/>
              <w:spacing w:line="400" w:lineRule="exact"/>
              <w:ind w:firstLine="0" w:firstLineChars="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w:t>
            </w:r>
          </w:p>
        </w:tc>
        <w:tc>
          <w:tcPr>
            <w:tcW w:w="7796" w:type="dxa"/>
            <w:vAlign w:val="center"/>
          </w:tcPr>
          <w:p w14:paraId="421008C5">
            <w:pPr>
              <w:autoSpaceDE/>
              <w:autoSpaceDN/>
              <w:spacing w:line="400" w:lineRule="exact"/>
              <w:ind w:firstLine="480" w:firstLineChars="200"/>
              <w:jc w:val="center"/>
              <w:rPr>
                <w:rFonts w:hint="default" w:ascii="Times New Roman" w:hAnsi="Times New Roman" w:eastAsia="方正仿宋_GBK" w:cs="Times New Roman"/>
                <w:color w:val="000000"/>
                <w:kern w:val="0"/>
                <w:sz w:val="24"/>
                <w:szCs w:val="24"/>
              </w:rPr>
            </w:pPr>
          </w:p>
        </w:tc>
      </w:tr>
    </w:tbl>
    <w:p w14:paraId="6CF649F6">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482" w:firstLineChars="200"/>
        <w:jc w:val="left"/>
        <w:textAlignment w:val="auto"/>
        <w:rPr>
          <w:rFonts w:hint="default" w:ascii="Times New Roman" w:hAnsi="Times New Roman" w:eastAsia="方正仿宋_GBK" w:cs="Times New Roman"/>
          <w:b/>
          <w:bCs/>
          <w:color w:val="auto"/>
          <w:sz w:val="24"/>
          <w:szCs w:val="24"/>
          <w:lang w:val="en-US" w:eastAsia="zh-CN" w:bidi="ar-SA"/>
        </w:rPr>
      </w:pPr>
      <w:r>
        <w:rPr>
          <w:rFonts w:hint="default" w:ascii="Times New Roman" w:hAnsi="Times New Roman" w:eastAsia="方正仿宋_GBK" w:cs="Times New Roman"/>
          <w:b/>
          <w:bCs/>
          <w:color w:val="auto"/>
          <w:sz w:val="24"/>
          <w:szCs w:val="24"/>
          <w:lang w:val="en-US" w:eastAsia="zh-CN" w:bidi="ar-SA"/>
        </w:rPr>
        <w:t>*</w:t>
      </w:r>
      <w:r>
        <w:rPr>
          <w:rFonts w:hint="eastAsia" w:ascii="Times New Roman" w:hAnsi="Times New Roman" w:eastAsia="方正仿宋_GBK" w:cs="Times New Roman"/>
          <w:b/>
          <w:bCs/>
          <w:color w:val="auto"/>
          <w:sz w:val="24"/>
          <w:szCs w:val="24"/>
          <w:lang w:val="en-US" w:eastAsia="zh-CN" w:bidi="ar-SA"/>
        </w:rPr>
        <w:t>四</w:t>
      </w:r>
      <w:r>
        <w:rPr>
          <w:rFonts w:hint="default" w:ascii="Times New Roman" w:hAnsi="Times New Roman" w:eastAsia="方正仿宋_GBK" w:cs="Times New Roman"/>
          <w:b/>
          <w:bCs/>
          <w:color w:val="auto"/>
          <w:sz w:val="24"/>
          <w:szCs w:val="24"/>
          <w:lang w:val="en-US" w:eastAsia="zh-CN" w:bidi="ar-SA"/>
        </w:rPr>
        <w:t>、提交成果</w:t>
      </w:r>
    </w:p>
    <w:p w14:paraId="23A5EC4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1、建立详尽运维系统文件，所有的运维体系文件与</w:t>
      </w:r>
      <w:r>
        <w:rPr>
          <w:rFonts w:hint="eastAsia" w:ascii="Times New Roman" w:hAnsi="Times New Roman" w:eastAsia="方正仿宋_GBK" w:cs="Times New Roman"/>
          <w:color w:val="auto"/>
          <w:sz w:val="24"/>
          <w:szCs w:val="24"/>
          <w:lang w:val="en-US" w:eastAsia="zh-CN"/>
        </w:rPr>
        <w:t>采购人</w:t>
      </w:r>
      <w:r>
        <w:rPr>
          <w:rFonts w:hint="default" w:ascii="Times New Roman" w:hAnsi="Times New Roman" w:eastAsia="方正仿宋_GBK" w:cs="Times New Roman"/>
          <w:color w:val="auto"/>
          <w:sz w:val="24"/>
          <w:szCs w:val="24"/>
          <w:lang w:val="en-US" w:eastAsia="zh-CN"/>
        </w:rPr>
        <w:t>充分讨论修订后打印装订成册存档，作为运维制度和运维执行标准文件；</w:t>
      </w:r>
    </w:p>
    <w:p w14:paraId="402AD6A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2、培训资料建立培训手册和电子档存档，便于运维人员长期学习；</w:t>
      </w:r>
    </w:p>
    <w:p w14:paraId="7119BF7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3、运维体系建设及人员培养工作总结报告</w:t>
      </w:r>
      <w:r>
        <w:rPr>
          <w:rFonts w:hint="eastAsia" w:ascii="Times New Roman" w:hAnsi="Times New Roman" w:eastAsia="方正仿宋_GBK" w:cs="Times New Roman"/>
          <w:color w:val="auto"/>
          <w:sz w:val="24"/>
          <w:szCs w:val="24"/>
          <w:lang w:val="en-US" w:eastAsia="zh-CN"/>
        </w:rPr>
        <w:t>各一份（纸质版需装订、电子版）</w:t>
      </w:r>
      <w:r>
        <w:rPr>
          <w:rFonts w:hint="default" w:ascii="Times New Roman" w:hAnsi="Times New Roman" w:eastAsia="方正仿宋_GBK" w:cs="Times New Roman"/>
          <w:color w:val="auto"/>
          <w:sz w:val="24"/>
          <w:szCs w:val="24"/>
          <w:lang w:val="en-US" w:eastAsia="zh-CN"/>
        </w:rPr>
        <w:t>。</w:t>
      </w:r>
    </w:p>
    <w:p w14:paraId="0D7BB3C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4、《柴油发电机组保养日程表》</w:t>
      </w:r>
    </w:p>
    <w:p w14:paraId="7024BF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5、《柴油发电机组巡检保养维修报告单》</w:t>
      </w:r>
    </w:p>
    <w:p w14:paraId="18954642">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2" w:firstLineChars="200"/>
        <w:jc w:val="left"/>
        <w:textAlignment w:val="auto"/>
        <w:rPr>
          <w:rFonts w:hint="default" w:ascii="Times New Roman" w:hAnsi="Times New Roman" w:eastAsia="方正仿宋_GBK" w:cs="Times New Roman"/>
          <w:b/>
          <w:caps w:val="0"/>
          <w:color w:val="auto"/>
          <w:sz w:val="24"/>
          <w:szCs w:val="24"/>
          <w:vertAlign w:val="baseline"/>
        </w:rPr>
      </w:pPr>
      <w:r>
        <w:rPr>
          <w:rFonts w:hint="default" w:ascii="Times New Roman" w:hAnsi="Times New Roman" w:eastAsia="方正仿宋_GBK" w:cs="Times New Roman"/>
          <w:b/>
          <w:bCs/>
          <w:color w:val="auto"/>
          <w:sz w:val="24"/>
          <w:szCs w:val="24"/>
        </w:rPr>
        <w:t>*</w:t>
      </w:r>
      <w:r>
        <w:rPr>
          <w:rFonts w:hint="eastAsia" w:ascii="Times New Roman" w:hAnsi="Times New Roman" w:eastAsia="方正仿宋_GBK" w:cs="Times New Roman"/>
          <w:b/>
          <w:bCs/>
          <w:color w:val="auto"/>
          <w:sz w:val="24"/>
          <w:szCs w:val="24"/>
          <w:lang w:val="en-US" w:eastAsia="zh-CN" w:bidi="ar-SA"/>
        </w:rPr>
        <w:t>五</w:t>
      </w:r>
      <w:r>
        <w:rPr>
          <w:rFonts w:hint="default" w:ascii="Times New Roman" w:hAnsi="Times New Roman" w:eastAsia="方正仿宋_GBK" w:cs="Times New Roman"/>
          <w:b/>
          <w:bCs/>
          <w:color w:val="auto"/>
          <w:sz w:val="24"/>
          <w:szCs w:val="24"/>
          <w:lang w:val="en-US" w:eastAsia="zh-CN" w:bidi="ar-SA"/>
        </w:rPr>
        <w:t>、</w:t>
      </w:r>
      <w:r>
        <w:rPr>
          <w:rFonts w:hint="default" w:ascii="Times New Roman" w:hAnsi="Times New Roman" w:eastAsia="方正仿宋_GBK" w:cs="Times New Roman"/>
          <w:b/>
          <w:bCs w:val="0"/>
          <w:caps w:val="0"/>
          <w:color w:val="auto"/>
          <w:kern w:val="2"/>
          <w:sz w:val="24"/>
          <w:szCs w:val="24"/>
          <w:vertAlign w:val="baseline"/>
          <w:lang w:val="en-US" w:eastAsia="zh-CN" w:bidi="ar"/>
        </w:rPr>
        <w:t>售后及质保</w:t>
      </w:r>
    </w:p>
    <w:p w14:paraId="2D2C8F0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1、所更换和调校的配件质保期为12个月。（从维保全部结束日开始计算）</w:t>
      </w:r>
    </w:p>
    <w:p w14:paraId="6FFF562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2、在质保周期内，维保方为发电设备维保所更换和调校的配件若出现故障，维保方在得到通知后免费上门针对出现的故障配件进行更换或维修，保障发电设备的正常运行。</w:t>
      </w:r>
    </w:p>
    <w:p w14:paraId="509338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3、在质保周期内，发电设备出现维保方维保所更换和调校的配件以外的故障现象，维保方将根据故障现象收取相应的配件费，工时费。</w:t>
      </w:r>
    </w:p>
    <w:p w14:paraId="4AE416BB">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2" w:firstLineChars="200"/>
        <w:jc w:val="left"/>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w:t>
      </w:r>
      <w:r>
        <w:rPr>
          <w:rFonts w:hint="eastAsia" w:ascii="Times New Roman" w:hAnsi="Times New Roman" w:eastAsia="方正仿宋_GBK" w:cs="Times New Roman"/>
          <w:b/>
          <w:bCs/>
          <w:color w:val="auto"/>
          <w:sz w:val="24"/>
          <w:szCs w:val="24"/>
          <w:lang w:val="en-US" w:eastAsia="zh-CN"/>
        </w:rPr>
        <w:t>六</w:t>
      </w:r>
      <w:r>
        <w:rPr>
          <w:rFonts w:hint="default" w:ascii="Times New Roman" w:hAnsi="Times New Roman" w:eastAsia="方正仿宋_GBK" w:cs="Times New Roman"/>
          <w:b/>
          <w:bCs/>
          <w:color w:val="auto"/>
          <w:sz w:val="24"/>
          <w:szCs w:val="24"/>
        </w:rPr>
        <w:t>、商务要求</w:t>
      </w:r>
    </w:p>
    <w:p w14:paraId="63A62882">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bCs/>
          <w:color w:val="auto"/>
          <w:sz w:val="24"/>
          <w:szCs w:val="24"/>
        </w:rPr>
        <w:t>（一）服务期限</w:t>
      </w:r>
      <w:r>
        <w:rPr>
          <w:rFonts w:hint="default" w:ascii="Times New Roman" w:hAnsi="Times New Roman" w:eastAsia="方正仿宋_GBK" w:cs="Times New Roman"/>
          <w:color w:val="auto"/>
          <w:sz w:val="24"/>
          <w:szCs w:val="24"/>
        </w:rPr>
        <w:t>：合同签订后</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365</w:t>
      </w:r>
      <w:r>
        <w:rPr>
          <w:rFonts w:hint="default" w:ascii="Times New Roman" w:hAnsi="Times New Roman" w:eastAsia="方正仿宋_GBK" w:cs="Times New Roman"/>
          <w:color w:val="auto"/>
          <w:sz w:val="24"/>
          <w:szCs w:val="24"/>
        </w:rPr>
        <w:t>日内完成。</w:t>
      </w:r>
    </w:p>
    <w:p w14:paraId="7F503ECD">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b/>
          <w:bCs/>
          <w:color w:val="auto"/>
          <w:sz w:val="24"/>
          <w:szCs w:val="24"/>
        </w:rPr>
        <w:t>（二）服务地点：</w:t>
      </w:r>
      <w:bookmarkStart w:id="359" w:name="_GoBack"/>
      <w:r>
        <w:rPr>
          <w:rFonts w:hint="default" w:ascii="Times New Roman" w:hAnsi="Times New Roman" w:eastAsia="方正仿宋_GBK" w:cs="Times New Roman"/>
          <w:color w:val="auto"/>
          <w:sz w:val="24"/>
          <w:szCs w:val="24"/>
          <w:lang w:val="en-US" w:eastAsia="zh-CN"/>
        </w:rPr>
        <w:t>九寨沟管理局所属辖区内</w:t>
      </w:r>
      <w:bookmarkEnd w:id="359"/>
      <w:r>
        <w:rPr>
          <w:rFonts w:hint="default" w:ascii="Times New Roman" w:hAnsi="Times New Roman" w:eastAsia="方正仿宋_GBK" w:cs="Times New Roman"/>
          <w:color w:val="auto"/>
          <w:sz w:val="24"/>
          <w:szCs w:val="24"/>
          <w:lang w:val="en-US" w:eastAsia="zh-CN"/>
        </w:rPr>
        <w:t>。</w:t>
      </w:r>
    </w:p>
    <w:p w14:paraId="699CDD8B">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w:t>
      </w:r>
      <w:r>
        <w:rPr>
          <w:rFonts w:hint="default" w:ascii="Times New Roman" w:hAnsi="Times New Roman" w:eastAsia="方正仿宋_GBK" w:cs="Times New Roman"/>
          <w:b/>
          <w:bCs/>
          <w:color w:val="auto"/>
          <w:sz w:val="24"/>
          <w:szCs w:val="24"/>
          <w:lang w:val="en-US" w:eastAsia="zh-CN"/>
        </w:rPr>
        <w:t>三</w:t>
      </w:r>
      <w:r>
        <w:rPr>
          <w:rFonts w:hint="default" w:ascii="Times New Roman" w:hAnsi="Times New Roman" w:eastAsia="方正仿宋_GBK" w:cs="Times New Roman"/>
          <w:b/>
          <w:bCs/>
          <w:color w:val="auto"/>
          <w:sz w:val="24"/>
          <w:szCs w:val="24"/>
        </w:rPr>
        <w:t>）</w:t>
      </w:r>
      <w:r>
        <w:rPr>
          <w:rFonts w:hint="default" w:ascii="Times New Roman" w:hAnsi="Times New Roman" w:eastAsia="方正仿宋_GBK" w:cs="Times New Roman"/>
          <w:b/>
          <w:bCs/>
          <w:color w:val="auto"/>
          <w:sz w:val="24"/>
          <w:szCs w:val="24"/>
          <w:lang w:val="en-US" w:eastAsia="zh-CN"/>
        </w:rPr>
        <w:t>付款方式</w:t>
      </w:r>
      <w:r>
        <w:rPr>
          <w:rFonts w:hint="default" w:ascii="Times New Roman" w:hAnsi="Times New Roman" w:eastAsia="方正仿宋_GBK" w:cs="Times New Roman"/>
          <w:b/>
          <w:bCs/>
          <w:color w:val="auto"/>
          <w:sz w:val="24"/>
          <w:szCs w:val="24"/>
        </w:rPr>
        <w:t>：</w:t>
      </w:r>
    </w:p>
    <w:p w14:paraId="45150ED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（1）合同签订之日起15个工作日内，采购人向成交供应商支付合同总金额的40%作为首付款。</w:t>
      </w:r>
    </w:p>
    <w:p w14:paraId="4BCE12F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（2）成交供应商提交项目最终成果并通过采购人验收后15个工作日内，采购人向成交供应商支付合同总金额50%尾款。</w:t>
      </w:r>
    </w:p>
    <w:p w14:paraId="1080AA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（3）</w:t>
      </w:r>
      <w:r>
        <w:rPr>
          <w:rFonts w:hint="default" w:ascii="Times New Roman" w:hAnsi="Times New Roman" w:eastAsia="方正仿宋_GBK" w:cs="Times New Roman"/>
          <w:color w:val="auto"/>
          <w:sz w:val="24"/>
          <w:szCs w:val="24"/>
        </w:rPr>
        <w:t>运维体系建设质量保障周期为本项目验收后</w:t>
      </w:r>
      <w:r>
        <w:rPr>
          <w:rFonts w:hint="default" w:ascii="Times New Roman" w:hAnsi="Times New Roman" w:eastAsia="方正仿宋_GBK" w:cs="Times New Roman"/>
          <w:color w:val="auto"/>
          <w:sz w:val="24"/>
          <w:szCs w:val="24"/>
          <w:lang w:val="en-US" w:eastAsia="zh-CN"/>
        </w:rPr>
        <w:t>6</w:t>
      </w:r>
      <w:r>
        <w:rPr>
          <w:rFonts w:hint="default" w:ascii="Times New Roman" w:hAnsi="Times New Roman" w:eastAsia="方正仿宋_GBK" w:cs="Times New Roman"/>
          <w:color w:val="auto"/>
          <w:sz w:val="24"/>
          <w:szCs w:val="24"/>
        </w:rPr>
        <w:t>个月，</w:t>
      </w:r>
      <w:r>
        <w:rPr>
          <w:rFonts w:hint="eastAsia" w:ascii="Times New Roman" w:hAnsi="Times New Roman" w:eastAsia="方正仿宋_GBK" w:cs="Times New Roman"/>
          <w:color w:val="auto"/>
          <w:sz w:val="24"/>
          <w:szCs w:val="24"/>
          <w:lang w:val="en-US" w:eastAsia="zh-CN"/>
        </w:rPr>
        <w:t>待保障周期满</w:t>
      </w:r>
      <w:r>
        <w:rPr>
          <w:rFonts w:hint="default" w:ascii="Times New Roman" w:hAnsi="Times New Roman" w:eastAsia="方正仿宋_GBK" w:cs="Times New Roman"/>
          <w:color w:val="auto"/>
          <w:sz w:val="24"/>
          <w:szCs w:val="24"/>
          <w:lang w:val="en-US" w:eastAsia="zh-CN"/>
        </w:rPr>
        <w:t>无质量问题</w:t>
      </w:r>
      <w:r>
        <w:rPr>
          <w:rFonts w:hint="eastAsia" w:ascii="Times New Roman" w:hAnsi="Times New Roman" w:eastAsia="方正仿宋_GBK" w:cs="Times New Roman"/>
          <w:color w:val="auto"/>
          <w:sz w:val="24"/>
          <w:szCs w:val="24"/>
          <w:lang w:val="en-US" w:eastAsia="zh-CN"/>
        </w:rPr>
        <w:t>后15个工作日内支付合同总金额剩余的10%。</w:t>
      </w:r>
    </w:p>
    <w:p w14:paraId="0619ABD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每阶段付款前，成交供应商需根据采购人要求开具与应付金额等额的有效发票。因成交供应商未及时出具合法有效完整的发票及请款凭证资料，导致采购人无法结算支付金额或延期支付的，采购人不承担违约责任。</w:t>
      </w:r>
    </w:p>
    <w:p w14:paraId="1E44F27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验收</w:t>
      </w:r>
      <w:r>
        <w:rPr>
          <w:rFonts w:hint="eastAsia" w:ascii="Times New Roman" w:hAnsi="Times New Roman" w:eastAsia="方正仿宋_GBK" w:cs="Times New Roman"/>
          <w:b/>
          <w:bCs/>
          <w:color w:val="auto"/>
          <w:sz w:val="24"/>
          <w:szCs w:val="24"/>
          <w:lang w:val="en-US" w:eastAsia="zh-CN"/>
        </w:rPr>
        <w:t>内容及验收标准</w:t>
      </w:r>
      <w:r>
        <w:rPr>
          <w:rFonts w:hint="default" w:ascii="Times New Roman" w:hAnsi="Times New Roman" w:eastAsia="方正仿宋_GBK" w:cs="Times New Roman"/>
          <w:b/>
          <w:bCs/>
          <w:color w:val="auto"/>
          <w:sz w:val="24"/>
          <w:szCs w:val="24"/>
        </w:rPr>
        <w:t>：</w:t>
      </w:r>
    </w:p>
    <w:p w14:paraId="378FDB45">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CN"/>
        </w:rPr>
        <w:t>验收内容：</w:t>
      </w:r>
      <w:r>
        <w:rPr>
          <w:rFonts w:hint="default" w:ascii="Times New Roman" w:hAnsi="Times New Roman" w:eastAsia="方正仿宋_GBK" w:cs="Times New Roman"/>
          <w:color w:val="auto"/>
          <w:sz w:val="24"/>
          <w:szCs w:val="24"/>
        </w:rPr>
        <w:t>按照磋商文件要求</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成交供应商响应文件内容</w:t>
      </w:r>
      <w:r>
        <w:rPr>
          <w:rFonts w:hint="eastAsia" w:ascii="Times New Roman" w:hAnsi="Times New Roman" w:eastAsia="方正仿宋_GBK" w:cs="Times New Roman"/>
          <w:color w:val="auto"/>
          <w:sz w:val="24"/>
          <w:szCs w:val="24"/>
          <w:lang w:val="en-US" w:eastAsia="zh-CN"/>
        </w:rPr>
        <w:t>及相关国家、行业标准</w:t>
      </w:r>
      <w:r>
        <w:rPr>
          <w:rFonts w:hint="default" w:ascii="Times New Roman" w:hAnsi="Times New Roman" w:eastAsia="方正仿宋_GBK" w:cs="Times New Roman"/>
          <w:color w:val="auto"/>
          <w:sz w:val="24"/>
          <w:szCs w:val="24"/>
        </w:rPr>
        <w:t>进行验收。</w:t>
      </w:r>
    </w:p>
    <w:p w14:paraId="1E25F66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验收参考标准：</w:t>
      </w:r>
    </w:p>
    <w:p w14:paraId="2C59541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根据国家《数据中心基础设施运行维护标准》 GB/T51314-2018，对机房应急保障供电技术支持服务中运维体系建设内容验收。</w:t>
      </w:r>
    </w:p>
    <w:p w14:paraId="7A3901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按照维保要求，提供技术支持服务日常维护服务内容巡检报告，每年对设备进行一次假负载测试，</w:t>
      </w:r>
      <w:r>
        <w:rPr>
          <w:rFonts w:hint="eastAsia" w:ascii="Times New Roman" w:hAnsi="Times New Roman" w:eastAsia="方正仿宋_GBK" w:cs="Times New Roman"/>
          <w:color w:val="auto"/>
          <w:sz w:val="24"/>
          <w:szCs w:val="24"/>
          <w:lang w:eastAsia="zh-CN"/>
        </w:rPr>
        <w:t>以</w:t>
      </w:r>
      <w:r>
        <w:rPr>
          <w:rFonts w:hint="default" w:ascii="Times New Roman" w:hAnsi="Times New Roman" w:eastAsia="方正仿宋_GBK" w:cs="Times New Roman"/>
          <w:color w:val="auto"/>
          <w:sz w:val="24"/>
          <w:szCs w:val="24"/>
        </w:rPr>
        <w:t>确保机组输出电压能达到效率，并出具相关测试报告单。</w:t>
      </w:r>
    </w:p>
    <w:p w14:paraId="2B33540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提供年度服务工作报告、总结报告。</w:t>
      </w:r>
    </w:p>
    <w:p w14:paraId="5FBD3E8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FF0000"/>
          <w:sz w:val="24"/>
          <w:szCs w:val="24"/>
        </w:rPr>
      </w:pPr>
      <w:r>
        <w:rPr>
          <w:rFonts w:hint="default" w:ascii="Times New Roman" w:hAnsi="Times New Roman" w:eastAsia="方正仿宋_GBK" w:cs="Times New Roman"/>
          <w:color w:val="auto"/>
          <w:sz w:val="24"/>
          <w:szCs w:val="24"/>
          <w:lang w:val="en-US" w:eastAsia="zh-CN"/>
        </w:rPr>
        <w:t>4、</w:t>
      </w:r>
      <w:r>
        <w:rPr>
          <w:rFonts w:hint="default" w:ascii="Times New Roman" w:hAnsi="Times New Roman" w:eastAsia="方正仿宋_GBK" w:cs="Times New Roman"/>
          <w:color w:val="auto"/>
          <w:sz w:val="24"/>
          <w:szCs w:val="24"/>
        </w:rPr>
        <w:t>运维体系建设质量保障周期为本项目验收后</w:t>
      </w:r>
      <w:r>
        <w:rPr>
          <w:rFonts w:hint="default" w:ascii="Times New Roman" w:hAnsi="Times New Roman" w:eastAsia="方正仿宋_GBK" w:cs="Times New Roman"/>
          <w:color w:val="auto"/>
          <w:sz w:val="24"/>
          <w:szCs w:val="24"/>
          <w:lang w:val="en-US" w:eastAsia="zh-CN"/>
        </w:rPr>
        <w:t>6</w:t>
      </w:r>
      <w:r>
        <w:rPr>
          <w:rFonts w:hint="default" w:ascii="Times New Roman" w:hAnsi="Times New Roman" w:eastAsia="方正仿宋_GBK" w:cs="Times New Roman"/>
          <w:color w:val="auto"/>
          <w:sz w:val="24"/>
          <w:szCs w:val="24"/>
        </w:rPr>
        <w:t>个月内，</w:t>
      </w:r>
      <w:r>
        <w:rPr>
          <w:rFonts w:hint="eastAsia" w:ascii="Times New Roman" w:hAnsi="Times New Roman" w:eastAsia="方正仿宋_GBK" w:cs="Times New Roman"/>
          <w:color w:val="auto"/>
          <w:sz w:val="24"/>
          <w:szCs w:val="24"/>
          <w:lang w:val="en-US" w:eastAsia="zh-CN"/>
        </w:rPr>
        <w:t>采购人</w:t>
      </w:r>
      <w:r>
        <w:rPr>
          <w:rFonts w:hint="default" w:ascii="Times New Roman" w:hAnsi="Times New Roman" w:eastAsia="方正仿宋_GBK" w:cs="Times New Roman"/>
          <w:color w:val="auto"/>
          <w:sz w:val="24"/>
          <w:szCs w:val="24"/>
        </w:rPr>
        <w:t>认为需要根据变化进行调整，</w:t>
      </w:r>
      <w:r>
        <w:rPr>
          <w:rFonts w:hint="eastAsia" w:ascii="Times New Roman" w:hAnsi="Times New Roman" w:eastAsia="方正仿宋_GBK" w:cs="Times New Roman"/>
          <w:color w:val="auto"/>
          <w:sz w:val="24"/>
          <w:szCs w:val="24"/>
          <w:lang w:val="en-US" w:eastAsia="zh-CN"/>
        </w:rPr>
        <w:t>成交供应商</w:t>
      </w:r>
      <w:r>
        <w:rPr>
          <w:rFonts w:hint="default" w:ascii="Times New Roman" w:hAnsi="Times New Roman" w:eastAsia="方正仿宋_GBK" w:cs="Times New Roman"/>
          <w:color w:val="auto"/>
          <w:sz w:val="24"/>
          <w:szCs w:val="24"/>
        </w:rPr>
        <w:t>需要配合完成。</w:t>
      </w:r>
    </w:p>
    <w:p w14:paraId="23FD3030">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szCs w:val="22"/>
          <w:lang w:val="en-US" w:eastAsia="zh-CN" w:bidi="ar-SA"/>
        </w:rPr>
      </w:pPr>
    </w:p>
    <w:p w14:paraId="43A9DFA2">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szCs w:val="22"/>
          <w:lang w:val="en-US" w:eastAsia="zh-CN" w:bidi="ar-SA"/>
        </w:rPr>
      </w:pPr>
    </w:p>
    <w:p w14:paraId="314DC26F">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szCs w:val="22"/>
          <w:lang w:val="en-US" w:eastAsia="zh-CN" w:bidi="ar-SA"/>
        </w:rPr>
      </w:pPr>
    </w:p>
    <w:p w14:paraId="233271B5">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szCs w:val="22"/>
          <w:lang w:val="en-US" w:eastAsia="zh-CN" w:bidi="ar-SA"/>
        </w:rPr>
      </w:pPr>
    </w:p>
    <w:p w14:paraId="11692A22">
      <w:pPr>
        <w:spacing w:line="401" w:lineRule="auto"/>
        <w:jc w:val="center"/>
        <w:outlineLvl w:val="0"/>
        <w:rPr>
          <w:rFonts w:ascii="Times New Roman" w:hAnsi="Times New Roman" w:eastAsia="仿宋" w:cs="Times New Roman"/>
          <w:b/>
          <w:bCs/>
          <w:sz w:val="32"/>
          <w:szCs w:val="32"/>
        </w:rPr>
      </w:pPr>
      <w:bookmarkStart w:id="194" w:name="_Toc24291"/>
      <w:bookmarkStart w:id="195" w:name="_Toc6124"/>
      <w:bookmarkStart w:id="196" w:name="_Toc29123"/>
      <w:bookmarkStart w:id="197" w:name="_Toc5410"/>
    </w:p>
    <w:p w14:paraId="1C65F725">
      <w:pPr>
        <w:spacing w:line="401" w:lineRule="auto"/>
        <w:jc w:val="center"/>
        <w:outlineLvl w:val="0"/>
        <w:rPr>
          <w:rFonts w:ascii="Times New Roman" w:hAnsi="Times New Roman" w:eastAsia="仿宋" w:cs="Times New Roman"/>
          <w:b/>
          <w:bCs/>
          <w:sz w:val="32"/>
          <w:szCs w:val="32"/>
        </w:rPr>
      </w:pPr>
    </w:p>
    <w:p w14:paraId="2506835F">
      <w:pPr>
        <w:spacing w:line="401" w:lineRule="auto"/>
        <w:jc w:val="center"/>
        <w:outlineLvl w:val="0"/>
        <w:rPr>
          <w:rFonts w:ascii="Times New Roman" w:hAnsi="Times New Roman" w:eastAsia="仿宋" w:cs="Times New Roman"/>
          <w:b/>
          <w:bCs/>
          <w:sz w:val="32"/>
          <w:szCs w:val="32"/>
        </w:rPr>
      </w:pPr>
    </w:p>
    <w:p w14:paraId="48523E2D">
      <w:pPr>
        <w:spacing w:line="401" w:lineRule="auto"/>
        <w:jc w:val="center"/>
        <w:outlineLvl w:val="0"/>
        <w:rPr>
          <w:rFonts w:ascii="Times New Roman" w:hAnsi="Times New Roman" w:eastAsia="仿宋" w:cs="Times New Roman"/>
          <w:b/>
          <w:bCs/>
          <w:sz w:val="32"/>
          <w:szCs w:val="32"/>
        </w:rPr>
      </w:pPr>
    </w:p>
    <w:p w14:paraId="16CA7A3E">
      <w:pPr>
        <w:spacing w:line="401" w:lineRule="auto"/>
        <w:jc w:val="center"/>
        <w:outlineLvl w:val="0"/>
        <w:rPr>
          <w:rFonts w:ascii="Times New Roman" w:hAnsi="Times New Roman" w:eastAsia="仿宋" w:cs="Times New Roman"/>
          <w:b/>
          <w:bCs/>
          <w:sz w:val="32"/>
          <w:szCs w:val="32"/>
        </w:rPr>
      </w:pPr>
    </w:p>
    <w:p w14:paraId="699D6447">
      <w:pPr>
        <w:spacing w:line="401" w:lineRule="auto"/>
        <w:jc w:val="center"/>
        <w:outlineLvl w:val="0"/>
        <w:rPr>
          <w:rFonts w:ascii="Times New Roman" w:hAnsi="Times New Roman" w:eastAsia="仿宋" w:cs="Times New Roman"/>
          <w:b/>
          <w:bCs/>
          <w:sz w:val="32"/>
          <w:szCs w:val="32"/>
        </w:rPr>
      </w:pPr>
    </w:p>
    <w:p w14:paraId="4911D360">
      <w:pPr>
        <w:spacing w:line="401" w:lineRule="auto"/>
        <w:jc w:val="center"/>
        <w:outlineLvl w:val="0"/>
        <w:rPr>
          <w:rFonts w:ascii="Times New Roman" w:hAnsi="Times New Roman" w:eastAsia="仿宋" w:cs="Times New Roman"/>
          <w:b/>
          <w:bCs/>
          <w:sz w:val="32"/>
          <w:szCs w:val="32"/>
        </w:rPr>
      </w:pPr>
    </w:p>
    <w:p w14:paraId="4C346A07">
      <w:pPr>
        <w:spacing w:line="401" w:lineRule="auto"/>
        <w:jc w:val="center"/>
        <w:outlineLvl w:val="0"/>
        <w:rPr>
          <w:rFonts w:ascii="Times New Roman" w:hAnsi="Times New Roman" w:eastAsia="仿宋" w:cs="Times New Roman"/>
          <w:b/>
          <w:bCs/>
          <w:sz w:val="32"/>
          <w:szCs w:val="32"/>
        </w:rPr>
      </w:pPr>
    </w:p>
    <w:p w14:paraId="02C56E3B">
      <w:pPr>
        <w:spacing w:line="401" w:lineRule="auto"/>
        <w:jc w:val="center"/>
        <w:outlineLvl w:val="0"/>
        <w:rPr>
          <w:rFonts w:ascii="Times New Roman" w:hAnsi="Times New Roman" w:eastAsia="仿宋" w:cs="Times New Roman"/>
          <w:b/>
          <w:bCs/>
          <w:sz w:val="32"/>
          <w:szCs w:val="32"/>
        </w:rPr>
      </w:pPr>
    </w:p>
    <w:p w14:paraId="6913B030">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0"/>
      <w:bookmarkEnd w:id="171"/>
      <w:bookmarkEnd w:id="194"/>
      <w:bookmarkEnd w:id="195"/>
      <w:bookmarkEnd w:id="196"/>
      <w:bookmarkEnd w:id="197"/>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98"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99" w:name="_Toc495"/>
      <w:bookmarkStart w:id="200" w:name="_Toc27079"/>
      <w:bookmarkStart w:id="201" w:name="_Toc10038"/>
      <w:bookmarkStart w:id="202" w:name="_Toc13416"/>
      <w:bookmarkStart w:id="203" w:name="_Toc11911"/>
      <w:r>
        <w:rPr>
          <w:rFonts w:ascii="Times New Roman" w:hAnsi="Times New Roman" w:eastAsia="仿宋" w:cs="Times New Roman"/>
          <w:b/>
          <w:bCs/>
          <w:sz w:val="32"/>
          <w:szCs w:val="32"/>
        </w:rPr>
        <w:t>第七章  响应文件格式</w:t>
      </w:r>
      <w:bookmarkEnd w:id="198"/>
      <w:bookmarkEnd w:id="199"/>
      <w:bookmarkEnd w:id="200"/>
      <w:bookmarkEnd w:id="201"/>
      <w:bookmarkEnd w:id="202"/>
      <w:bookmarkEnd w:id="203"/>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204" w:name="_Toc19873"/>
      <w:bookmarkStart w:id="205" w:name="_Toc1621"/>
      <w:bookmarkStart w:id="206" w:name="_Toc16136"/>
      <w:bookmarkStart w:id="207" w:name="_Toc15900"/>
      <w:r>
        <w:rPr>
          <w:rFonts w:ascii="Times New Roman" w:hAnsi="Times New Roman" w:eastAsia="仿宋" w:cs="Times New Roman"/>
          <w:b/>
          <w:sz w:val="32"/>
        </w:rPr>
        <w:t>第一部分     “资格性响应文件”格式</w:t>
      </w:r>
      <w:bookmarkEnd w:id="204"/>
      <w:bookmarkEnd w:id="205"/>
      <w:bookmarkEnd w:id="206"/>
      <w:bookmarkEnd w:id="207"/>
    </w:p>
    <w:p w14:paraId="7929CE5E">
      <w:pPr>
        <w:spacing w:line="360" w:lineRule="auto"/>
        <w:outlineLvl w:val="0"/>
        <w:rPr>
          <w:rFonts w:ascii="Times New Roman" w:hAnsi="Times New Roman" w:eastAsia="仿宋" w:cs="Times New Roman"/>
          <w:b/>
          <w:sz w:val="32"/>
        </w:rPr>
      </w:pPr>
      <w:bookmarkStart w:id="208" w:name="_Toc6648"/>
      <w:bookmarkStart w:id="209" w:name="_Toc27391"/>
      <w:bookmarkStart w:id="210" w:name="_Toc15815"/>
      <w:bookmarkStart w:id="211" w:name="_Toc808"/>
      <w:r>
        <w:rPr>
          <w:rFonts w:ascii="Times New Roman" w:hAnsi="Times New Roman" w:eastAsia="仿宋" w:cs="Times New Roman"/>
          <w:b/>
          <w:sz w:val="32"/>
        </w:rPr>
        <w:t>格式1-1</w:t>
      </w:r>
      <w:bookmarkEnd w:id="208"/>
      <w:bookmarkEnd w:id="209"/>
      <w:bookmarkEnd w:id="210"/>
      <w:bookmarkEnd w:id="211"/>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212" w:name="_Toc25191"/>
      <w:bookmarkStart w:id="213" w:name="_Toc19694"/>
      <w:bookmarkStart w:id="214" w:name="_Toc13989"/>
      <w:r>
        <w:rPr>
          <w:rFonts w:ascii="Times New Roman" w:hAnsi="Times New Roman" w:eastAsia="仿宋" w:cs="Times New Roman"/>
          <w:b/>
          <w:sz w:val="32"/>
        </w:rPr>
        <w:t>格式1-2</w:t>
      </w:r>
      <w:bookmarkEnd w:id="212"/>
      <w:bookmarkEnd w:id="213"/>
      <w:bookmarkEnd w:id="214"/>
    </w:p>
    <w:p w14:paraId="08C38C8B">
      <w:pPr>
        <w:spacing w:line="360" w:lineRule="auto"/>
        <w:ind w:firstLine="790"/>
        <w:jc w:val="center"/>
        <w:outlineLvl w:val="1"/>
        <w:rPr>
          <w:rFonts w:ascii="Times New Roman" w:hAnsi="Times New Roman" w:eastAsia="仿宋" w:cs="Times New Roman"/>
          <w:b/>
          <w:sz w:val="32"/>
        </w:rPr>
      </w:pPr>
      <w:bookmarkStart w:id="215" w:name="_Toc2371"/>
      <w:r>
        <w:rPr>
          <w:rFonts w:ascii="Times New Roman" w:hAnsi="Times New Roman" w:eastAsia="仿宋" w:cs="Times New Roman"/>
          <w:b/>
          <w:sz w:val="32"/>
        </w:rPr>
        <w:t>一、法定代表人/单位负责人授权书</w:t>
      </w:r>
      <w:bookmarkEnd w:id="215"/>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16" w:name="_Toc14908"/>
      <w:bookmarkStart w:id="217" w:name="_Toc31935"/>
      <w:bookmarkStart w:id="218" w:name="_Toc10204"/>
      <w:r>
        <w:rPr>
          <w:rFonts w:ascii="Times New Roman" w:hAnsi="Times New Roman" w:eastAsia="仿宋" w:cs="Times New Roman"/>
          <w:b/>
          <w:sz w:val="32"/>
        </w:rPr>
        <w:t>格式1-3</w:t>
      </w:r>
      <w:bookmarkEnd w:id="216"/>
      <w:bookmarkEnd w:id="217"/>
      <w:bookmarkEnd w:id="218"/>
    </w:p>
    <w:p w14:paraId="5B9FAFC3">
      <w:pPr>
        <w:spacing w:line="360" w:lineRule="auto"/>
        <w:jc w:val="center"/>
        <w:outlineLvl w:val="1"/>
        <w:rPr>
          <w:rFonts w:ascii="Times New Roman" w:hAnsi="Times New Roman" w:eastAsia="仿宋" w:cs="Times New Roman"/>
          <w:b/>
          <w:sz w:val="32"/>
        </w:rPr>
      </w:pPr>
      <w:bookmarkStart w:id="219" w:name="_Toc9259"/>
      <w:r>
        <w:rPr>
          <w:rFonts w:ascii="Times New Roman" w:hAnsi="Times New Roman" w:eastAsia="仿宋" w:cs="Times New Roman"/>
          <w:b/>
          <w:sz w:val="32"/>
        </w:rPr>
        <w:t>二、承诺函</w:t>
      </w:r>
      <w:bookmarkEnd w:id="219"/>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20" w:name="_Toc16767"/>
      <w:bookmarkStart w:id="221" w:name="_Toc7874"/>
      <w:bookmarkStart w:id="222" w:name="_Toc9557"/>
      <w:r>
        <w:rPr>
          <w:rFonts w:ascii="Times New Roman" w:hAnsi="Times New Roman" w:eastAsia="仿宋" w:cs="Times New Roman"/>
          <w:b/>
          <w:sz w:val="32"/>
        </w:rPr>
        <w:t>格式1-4</w:t>
      </w:r>
      <w:bookmarkEnd w:id="220"/>
      <w:bookmarkEnd w:id="221"/>
      <w:bookmarkEnd w:id="222"/>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23"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23"/>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24" w:name="_Toc1295"/>
      <w:bookmarkStart w:id="225" w:name="_Toc28944"/>
      <w:bookmarkStart w:id="226" w:name="_Toc2182"/>
      <w:r>
        <w:rPr>
          <w:rFonts w:ascii="Times New Roman" w:hAnsi="Times New Roman" w:eastAsia="仿宋" w:cs="Times New Roman"/>
          <w:b/>
          <w:sz w:val="32"/>
        </w:rPr>
        <w:t>格式1-5</w:t>
      </w:r>
      <w:bookmarkEnd w:id="224"/>
      <w:bookmarkEnd w:id="225"/>
      <w:bookmarkEnd w:id="226"/>
    </w:p>
    <w:p w14:paraId="43712C09">
      <w:pPr>
        <w:spacing w:line="360" w:lineRule="auto"/>
        <w:jc w:val="center"/>
        <w:outlineLvl w:val="1"/>
        <w:rPr>
          <w:rFonts w:ascii="Times New Roman" w:hAnsi="Times New Roman" w:eastAsia="仿宋" w:cs="Times New Roman"/>
          <w:b/>
          <w:sz w:val="32"/>
        </w:rPr>
      </w:pPr>
      <w:bookmarkStart w:id="227"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27"/>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28" w:name="_Toc5285"/>
      <w:bookmarkStart w:id="229" w:name="_Toc24582"/>
      <w:bookmarkStart w:id="230" w:name="_Toc13061"/>
      <w:bookmarkStart w:id="231" w:name="_Toc9442"/>
      <w:r>
        <w:rPr>
          <w:rFonts w:ascii="Times New Roman" w:hAnsi="Times New Roman" w:eastAsia="仿宋" w:cs="Times New Roman"/>
          <w:b/>
          <w:sz w:val="32"/>
        </w:rPr>
        <w:t>第二部分     “其他响应文件”格式</w:t>
      </w:r>
      <w:bookmarkEnd w:id="228"/>
      <w:bookmarkEnd w:id="229"/>
      <w:bookmarkEnd w:id="230"/>
      <w:bookmarkEnd w:id="231"/>
    </w:p>
    <w:p w14:paraId="6DA788F0">
      <w:pPr>
        <w:spacing w:line="360" w:lineRule="auto"/>
        <w:outlineLvl w:val="0"/>
        <w:rPr>
          <w:rFonts w:ascii="Times New Roman" w:hAnsi="Times New Roman" w:eastAsia="仿宋" w:cs="Times New Roman"/>
          <w:b/>
          <w:sz w:val="32"/>
        </w:rPr>
      </w:pPr>
      <w:bookmarkStart w:id="232" w:name="_Toc13973"/>
      <w:bookmarkStart w:id="233" w:name="_Toc29702"/>
      <w:bookmarkStart w:id="234" w:name="_Toc28953"/>
      <w:bookmarkStart w:id="235" w:name="_Toc20452"/>
      <w:r>
        <w:rPr>
          <w:rFonts w:ascii="Times New Roman" w:hAnsi="Times New Roman" w:eastAsia="仿宋" w:cs="Times New Roman"/>
          <w:b/>
          <w:sz w:val="32"/>
        </w:rPr>
        <w:t>格式2-1</w:t>
      </w:r>
      <w:bookmarkEnd w:id="232"/>
      <w:bookmarkEnd w:id="233"/>
      <w:bookmarkEnd w:id="234"/>
      <w:bookmarkEnd w:id="235"/>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36" w:name="_Toc7206"/>
      <w:bookmarkStart w:id="237" w:name="_Toc13166"/>
      <w:bookmarkStart w:id="238" w:name="_Toc19737"/>
      <w:bookmarkStart w:id="239" w:name="_Toc24368"/>
      <w:r>
        <w:rPr>
          <w:rFonts w:ascii="Times New Roman" w:hAnsi="Times New Roman" w:eastAsia="仿宋" w:cs="Times New Roman"/>
          <w:b/>
          <w:sz w:val="32"/>
        </w:rPr>
        <w:t>格式2-2</w:t>
      </w:r>
      <w:bookmarkEnd w:id="236"/>
      <w:bookmarkEnd w:id="237"/>
      <w:bookmarkEnd w:id="238"/>
      <w:bookmarkEnd w:id="239"/>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40" w:name="_Toc16109"/>
      <w:bookmarkStart w:id="241" w:name="_Toc24446"/>
      <w:bookmarkStart w:id="242" w:name="_Toc16231"/>
      <w:bookmarkStart w:id="243" w:name="_Toc13363"/>
      <w:bookmarkStart w:id="244" w:name="_Toc29402"/>
      <w:r>
        <w:rPr>
          <w:rFonts w:ascii="Times New Roman" w:hAnsi="Times New Roman" w:eastAsia="仿宋" w:cs="Times New Roman"/>
          <w:b/>
          <w:sz w:val="32"/>
        </w:rPr>
        <w:t>格式2-3</w:t>
      </w:r>
      <w:bookmarkEnd w:id="240"/>
      <w:bookmarkEnd w:id="241"/>
      <w:bookmarkEnd w:id="242"/>
      <w:bookmarkEnd w:id="243"/>
      <w:bookmarkEnd w:id="244"/>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45" w:name="_Toc31568"/>
      <w:bookmarkStart w:id="246" w:name="_Toc13308"/>
      <w:bookmarkStart w:id="247" w:name="_Toc15411"/>
      <w:bookmarkStart w:id="248" w:name="_Toc25126"/>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45"/>
      <w:bookmarkEnd w:id="246"/>
      <w:bookmarkEnd w:id="247"/>
      <w:bookmarkEnd w:id="248"/>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49" w:name="_Toc6276"/>
      <w:bookmarkStart w:id="250" w:name="_Toc13678"/>
      <w:bookmarkStart w:id="251" w:name="_Toc5269"/>
      <w:bookmarkStart w:id="252" w:name="_Toc1765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49"/>
      <w:bookmarkEnd w:id="250"/>
      <w:bookmarkEnd w:id="251"/>
      <w:bookmarkEnd w:id="252"/>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53" w:name="_Toc346"/>
      <w:bookmarkStart w:id="254" w:name="_Toc24129"/>
      <w:bookmarkStart w:id="255" w:name="_Toc24819"/>
      <w:bookmarkStart w:id="256" w:name="_Toc7714"/>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53"/>
      <w:bookmarkEnd w:id="254"/>
      <w:bookmarkEnd w:id="255"/>
      <w:bookmarkEnd w:id="256"/>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6"/>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57" w:name="_Toc30380"/>
      <w:bookmarkStart w:id="258" w:name="_Toc21755"/>
      <w:bookmarkStart w:id="259" w:name="_Toc6587"/>
      <w:bookmarkStart w:id="260" w:name="_Toc17530"/>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57"/>
      <w:bookmarkEnd w:id="258"/>
      <w:bookmarkEnd w:id="259"/>
      <w:bookmarkEnd w:id="260"/>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61" w:name="_Toc8843"/>
      <w:bookmarkStart w:id="262" w:name="_Toc22843"/>
      <w:bookmarkStart w:id="263" w:name="_Toc30514"/>
      <w:bookmarkStart w:id="264" w:name="_Toc17982"/>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61"/>
      <w:bookmarkEnd w:id="262"/>
      <w:bookmarkEnd w:id="263"/>
      <w:bookmarkEnd w:id="264"/>
    </w:p>
    <w:p w14:paraId="3D4F3BB3">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1"/>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65" w:name="_Toc31845"/>
      <w:bookmarkStart w:id="266" w:name="_Toc22034"/>
      <w:bookmarkStart w:id="267" w:name="_Toc32528"/>
      <w:bookmarkStart w:id="268" w:name="_Toc19409"/>
      <w:bookmarkStart w:id="269" w:name="_Toc10302"/>
      <w:bookmarkStart w:id="270" w:name="_Toc112053983"/>
      <w:r>
        <w:rPr>
          <w:rFonts w:ascii="Times New Roman" w:hAnsi="Times New Roman" w:eastAsia="仿宋" w:cs="Times New Roman"/>
          <w:b/>
          <w:sz w:val="36"/>
          <w:szCs w:val="36"/>
        </w:rPr>
        <w:t>第八章  评审方法</w:t>
      </w:r>
      <w:bookmarkEnd w:id="265"/>
      <w:bookmarkEnd w:id="266"/>
      <w:bookmarkEnd w:id="267"/>
      <w:bookmarkEnd w:id="268"/>
      <w:bookmarkEnd w:id="269"/>
      <w:bookmarkEnd w:id="270"/>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71" w:name="_Toc4948"/>
      <w:bookmarkStart w:id="272" w:name="_Toc6669"/>
      <w:bookmarkStart w:id="273" w:name="_Toc28875"/>
      <w:bookmarkStart w:id="274" w:name="_Toc23647"/>
      <w:r>
        <w:rPr>
          <w:rFonts w:ascii="Times New Roman" w:hAnsi="Times New Roman" w:eastAsia="仿宋" w:cs="Times New Roman"/>
          <w:b/>
          <w:sz w:val="24"/>
        </w:rPr>
        <w:t>1.总则</w:t>
      </w:r>
      <w:bookmarkEnd w:id="271"/>
      <w:bookmarkEnd w:id="272"/>
      <w:bookmarkEnd w:id="273"/>
      <w:bookmarkEnd w:id="274"/>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75" w:name="_Toc32560"/>
      <w:bookmarkStart w:id="276" w:name="_Toc30137"/>
      <w:bookmarkStart w:id="277" w:name="_Toc27901"/>
      <w:bookmarkStart w:id="278" w:name="_Toc13486"/>
      <w:r>
        <w:rPr>
          <w:rFonts w:ascii="Times New Roman" w:hAnsi="Times New Roman" w:eastAsia="仿宋" w:cs="Times New Roman"/>
          <w:b/>
          <w:sz w:val="24"/>
        </w:rPr>
        <w:t>2.磋商程序</w:t>
      </w:r>
      <w:bookmarkEnd w:id="275"/>
      <w:bookmarkEnd w:id="276"/>
      <w:bookmarkEnd w:id="277"/>
      <w:bookmarkEnd w:id="278"/>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询函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79" w:name="_Toc11817"/>
      <w:bookmarkStart w:id="280" w:name="_Toc8409"/>
      <w:bookmarkStart w:id="281" w:name="_Toc31006"/>
      <w:bookmarkStart w:id="282" w:name="_Toc12558"/>
      <w:r>
        <w:rPr>
          <w:rFonts w:ascii="Times New Roman" w:hAnsi="Times New Roman" w:eastAsia="仿宋" w:cs="Times New Roman"/>
          <w:b/>
          <w:sz w:val="24"/>
        </w:rPr>
        <w:t>3.综合评分</w:t>
      </w:r>
      <w:bookmarkEnd w:id="279"/>
      <w:bookmarkEnd w:id="280"/>
      <w:bookmarkEnd w:id="281"/>
      <w:bookmarkEnd w:id="282"/>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1"/>
        <w:tblW w:w="5079" w:type="pct"/>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190"/>
        <w:gridCol w:w="821"/>
        <w:gridCol w:w="5104"/>
        <w:gridCol w:w="868"/>
      </w:tblGrid>
      <w:tr w14:paraId="08B3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89" w:type="pct"/>
            <w:vAlign w:val="center"/>
          </w:tcPr>
          <w:p w14:paraId="3A716B3C">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687" w:type="pct"/>
            <w:vAlign w:val="center"/>
          </w:tcPr>
          <w:p w14:paraId="21A67833">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474" w:type="pct"/>
            <w:vAlign w:val="center"/>
          </w:tcPr>
          <w:p w14:paraId="1D7403D7">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分值</w:t>
            </w:r>
          </w:p>
        </w:tc>
        <w:tc>
          <w:tcPr>
            <w:tcW w:w="2947" w:type="pct"/>
            <w:vAlign w:val="center"/>
          </w:tcPr>
          <w:p w14:paraId="3BF8E0E9">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501" w:type="pct"/>
            <w:vAlign w:val="center"/>
          </w:tcPr>
          <w:p w14:paraId="4899EE86">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2B9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4B9349E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687" w:type="pct"/>
            <w:vAlign w:val="center"/>
          </w:tcPr>
          <w:p w14:paraId="0A3A791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15EB6B2C">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40</w:t>
            </w:r>
            <w:r>
              <w:rPr>
                <w:rFonts w:hint="eastAsia" w:ascii="仿宋" w:hAnsi="仿宋" w:eastAsia="仿宋"/>
                <w:color w:val="000000"/>
                <w:szCs w:val="21"/>
              </w:rPr>
              <w:t>%</w:t>
            </w:r>
          </w:p>
        </w:tc>
        <w:tc>
          <w:tcPr>
            <w:tcW w:w="474" w:type="pct"/>
            <w:vAlign w:val="center"/>
          </w:tcPr>
          <w:p w14:paraId="7BBDC95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40</w:t>
            </w:r>
            <w:r>
              <w:rPr>
                <w:rFonts w:hint="eastAsia" w:ascii="仿宋" w:hAnsi="仿宋" w:eastAsia="仿宋"/>
                <w:color w:val="000000"/>
                <w:szCs w:val="21"/>
              </w:rPr>
              <w:t>分</w:t>
            </w:r>
          </w:p>
        </w:tc>
        <w:tc>
          <w:tcPr>
            <w:tcW w:w="2947" w:type="pct"/>
            <w:vAlign w:val="center"/>
          </w:tcPr>
          <w:p w14:paraId="77A1B8D6">
            <w:pPr>
              <w:spacing w:line="360" w:lineRule="exact"/>
              <w:rPr>
                <w:rFonts w:hint="eastAsia" w:ascii="仿宋" w:hAnsi="仿宋" w:eastAsia="仿宋"/>
                <w:color w:val="000000"/>
                <w:szCs w:val="21"/>
              </w:rPr>
            </w:pPr>
            <w:r>
              <w:rPr>
                <w:rFonts w:hint="eastAsia" w:ascii="仿宋" w:hAnsi="仿宋" w:eastAsia="仿宋"/>
                <w:color w:val="000000"/>
                <w:szCs w:val="21"/>
              </w:rPr>
              <w:t>满足磋商文件要求且响应价格最低的响应报价为磋商基准价，其价格分为满分。其他供应商的价格分统一按照下列公式计算：磋商报价得分=</w:t>
            </w:r>
            <w:r>
              <w:rPr>
                <w:rFonts w:hint="eastAsia" w:ascii="仿宋" w:hAnsi="仿宋" w:eastAsia="仿宋"/>
                <w:color w:val="000000"/>
                <w:szCs w:val="21"/>
                <w:lang w:eastAsia="zh-CN"/>
              </w:rPr>
              <w:t>（</w:t>
            </w:r>
            <w:r>
              <w:rPr>
                <w:rFonts w:hint="eastAsia" w:ascii="仿宋" w:hAnsi="仿宋" w:eastAsia="仿宋"/>
                <w:color w:val="000000"/>
                <w:szCs w:val="21"/>
              </w:rPr>
              <w:t>磋商基准价／最后磋商报价</w:t>
            </w:r>
            <w:r>
              <w:rPr>
                <w:rFonts w:hint="eastAsia" w:ascii="仿宋" w:hAnsi="仿宋" w:eastAsia="仿宋"/>
                <w:color w:val="000000"/>
                <w:szCs w:val="21"/>
                <w:lang w:eastAsia="zh-CN"/>
              </w:rPr>
              <w:t>）</w:t>
            </w:r>
            <w:r>
              <w:rPr>
                <w:rFonts w:hint="eastAsia" w:ascii="仿宋" w:hAnsi="仿宋" w:eastAsia="仿宋"/>
                <w:color w:val="000000"/>
                <w:szCs w:val="21"/>
              </w:rPr>
              <w:t>*</w:t>
            </w:r>
            <w:r>
              <w:rPr>
                <w:rFonts w:hint="eastAsia" w:ascii="仿宋" w:hAnsi="仿宋" w:eastAsia="仿宋"/>
                <w:color w:val="000000"/>
                <w:szCs w:val="21"/>
                <w:lang w:val="en-US" w:eastAsia="zh-CN"/>
              </w:rPr>
              <w:t>40</w:t>
            </w:r>
            <w:r>
              <w:rPr>
                <w:rFonts w:hint="eastAsia" w:ascii="仿宋" w:hAnsi="仿宋" w:eastAsia="仿宋"/>
                <w:color w:val="000000"/>
                <w:szCs w:val="21"/>
              </w:rPr>
              <w:t>%*100</w:t>
            </w:r>
          </w:p>
        </w:tc>
        <w:tc>
          <w:tcPr>
            <w:tcW w:w="501" w:type="pct"/>
            <w:vAlign w:val="center"/>
          </w:tcPr>
          <w:p w14:paraId="2F1233F7">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665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5AAF8360">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2</w:t>
            </w:r>
          </w:p>
        </w:tc>
        <w:tc>
          <w:tcPr>
            <w:tcW w:w="687" w:type="pct"/>
            <w:vAlign w:val="center"/>
          </w:tcPr>
          <w:p w14:paraId="388FA779">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项目保养</w:t>
            </w:r>
            <w:r>
              <w:rPr>
                <w:rFonts w:hint="eastAsia" w:ascii="仿宋" w:hAnsi="仿宋" w:eastAsia="仿宋"/>
                <w:color w:val="000000"/>
                <w:szCs w:val="21"/>
              </w:rPr>
              <w:t>服务方案 42%</w:t>
            </w:r>
          </w:p>
        </w:tc>
        <w:tc>
          <w:tcPr>
            <w:tcW w:w="474" w:type="pct"/>
            <w:vAlign w:val="center"/>
          </w:tcPr>
          <w:p w14:paraId="15B04829">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42分</w:t>
            </w:r>
          </w:p>
        </w:tc>
        <w:tc>
          <w:tcPr>
            <w:tcW w:w="2947" w:type="pct"/>
            <w:vAlign w:val="center"/>
          </w:tcPr>
          <w:p w14:paraId="44A919C3">
            <w:pPr>
              <w:spacing w:line="340" w:lineRule="exact"/>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szCs w:val="21"/>
              </w:rPr>
              <w:t>根据供应商针对本项目制定的项目保养服务方案进行评审，内容需包括：</w:t>
            </w:r>
            <w:r>
              <w:rPr>
                <w:rFonts w:hint="eastAsia" w:ascii="仿宋" w:hAnsi="仿宋" w:eastAsia="仿宋"/>
                <w:color w:val="000000" w:themeColor="text1"/>
                <w:szCs w:val="21"/>
                <w14:textFill>
                  <w14:solidFill>
                    <w14:schemeClr w14:val="tx1"/>
                  </w14:solidFill>
                </w14:textFill>
              </w:rPr>
              <w:t>①</w:t>
            </w:r>
            <w:r>
              <w:rPr>
                <w:rFonts w:hint="eastAsia" w:ascii="仿宋" w:hAnsi="仿宋" w:eastAsia="仿宋"/>
                <w:color w:val="000000" w:themeColor="text1"/>
                <w:szCs w:val="21"/>
                <w:lang w:val="en-US" w:eastAsia="zh-CN"/>
                <w14:textFill>
                  <w14:solidFill>
                    <w14:schemeClr w14:val="tx1"/>
                  </w14:solidFill>
                </w14:textFill>
              </w:rPr>
              <w:t>发电</w:t>
            </w:r>
            <w:r>
              <w:rPr>
                <w:rFonts w:hint="eastAsia" w:ascii="仿宋" w:hAnsi="仿宋" w:eastAsia="仿宋"/>
                <w:color w:val="000000" w:themeColor="text1"/>
                <w:szCs w:val="21"/>
                <w14:textFill>
                  <w14:solidFill>
                    <w14:schemeClr w14:val="tx1"/>
                  </w14:solidFill>
                </w14:textFill>
              </w:rPr>
              <w:t>机组</w:t>
            </w:r>
            <w:r>
              <w:rPr>
                <w:rFonts w:hint="eastAsia" w:ascii="仿宋" w:hAnsi="仿宋" w:eastAsia="仿宋"/>
                <w:color w:val="000000" w:themeColor="text1"/>
                <w:szCs w:val="21"/>
                <w:lang w:val="en-US" w:eastAsia="zh-CN"/>
                <w14:textFill>
                  <w14:solidFill>
                    <w14:schemeClr w14:val="tx1"/>
                  </w14:solidFill>
                </w14:textFill>
              </w:rPr>
              <w:t>整体</w:t>
            </w:r>
            <w:r>
              <w:rPr>
                <w:rFonts w:hint="eastAsia" w:ascii="仿宋" w:hAnsi="仿宋" w:eastAsia="仿宋"/>
                <w:color w:val="000000" w:themeColor="text1"/>
                <w:szCs w:val="21"/>
                <w14:textFill>
                  <w14:solidFill>
                    <w14:schemeClr w14:val="tx1"/>
                  </w14:solidFill>
                </w14:textFill>
              </w:rPr>
              <w:t>保养方案</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至少包括</w:t>
            </w:r>
            <w:r>
              <w:rPr>
                <w:rFonts w:hint="eastAsia" w:ascii="仿宋" w:hAnsi="仿宋" w:eastAsia="仿宋"/>
                <w:color w:val="000000" w:themeColor="text1"/>
                <w:szCs w:val="21"/>
                <w14:textFill>
                  <w14:solidFill>
                    <w14:schemeClr w14:val="tx1"/>
                  </w14:solidFill>
                </w14:textFill>
              </w:rPr>
              <w:t>烟尘处理器清洗</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假负载测试方案</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油罐的安全性检查</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②</w:t>
            </w:r>
            <w:r>
              <w:rPr>
                <w:rFonts w:hint="eastAsia" w:ascii="仿宋" w:hAnsi="仿宋" w:eastAsia="仿宋" w:cs="Arial"/>
                <w:color w:val="000000" w:themeColor="text1"/>
                <w:sz w:val="21"/>
                <w:szCs w:val="21"/>
                <w14:textFill>
                  <w14:solidFill>
                    <w14:schemeClr w14:val="tx1"/>
                  </w14:solidFill>
                </w14:textFill>
              </w:rPr>
              <w:t>月度例行巡检方案</w:t>
            </w:r>
            <w:r>
              <w:rPr>
                <w:rFonts w:hint="eastAsia" w:ascii="仿宋" w:hAnsi="仿宋" w:eastAsia="仿宋"/>
                <w:color w:val="000000" w:themeColor="text1"/>
                <w:szCs w:val="21"/>
                <w14:textFill>
                  <w14:solidFill>
                    <w14:schemeClr w14:val="tx1"/>
                  </w14:solidFill>
                </w14:textFill>
              </w:rPr>
              <w:t>③</w:t>
            </w:r>
            <w:r>
              <w:rPr>
                <w:rFonts w:hint="eastAsia" w:ascii="仿宋" w:hAnsi="仿宋" w:eastAsia="仿宋"/>
                <w:b w:val="0"/>
                <w:bCs w:val="0"/>
                <w:color w:val="000000" w:themeColor="text1"/>
                <w:szCs w:val="21"/>
                <w14:textFill>
                  <w14:solidFill>
                    <w14:schemeClr w14:val="tx1"/>
                  </w14:solidFill>
                </w14:textFill>
              </w:rPr>
              <w:t>维保项目计划进度安排</w:t>
            </w:r>
            <w:r>
              <w:rPr>
                <w:rFonts w:hint="eastAsia" w:ascii="仿宋" w:hAnsi="仿宋" w:eastAsia="仿宋"/>
                <w:color w:val="000000" w:themeColor="text1"/>
                <w:szCs w:val="21"/>
                <w14:textFill>
                  <w14:solidFill>
                    <w14:schemeClr w14:val="tx1"/>
                  </w14:solidFill>
                </w14:textFill>
              </w:rPr>
              <w:t>④</w:t>
            </w:r>
            <w:r>
              <w:rPr>
                <w:rFonts w:hint="eastAsia" w:ascii="仿宋" w:hAnsi="仿宋" w:eastAsia="仿宋"/>
                <w:color w:val="000000" w:themeColor="text1"/>
                <w:szCs w:val="21"/>
                <w:lang w:val="en-US" w:eastAsia="zh-CN"/>
                <w14:textFill>
                  <w14:solidFill>
                    <w14:schemeClr w14:val="tx1"/>
                  </w14:solidFill>
                </w14:textFill>
              </w:rPr>
              <w:t>团队配置及分工职责</w:t>
            </w:r>
            <w:r>
              <w:rPr>
                <w:rFonts w:hint="eastAsia" w:ascii="仿宋" w:hAnsi="仿宋" w:eastAsia="仿宋"/>
                <w:color w:val="000000" w:themeColor="text1"/>
                <w:szCs w:val="21"/>
                <w14:textFill>
                  <w14:solidFill>
                    <w14:schemeClr w14:val="tx1"/>
                  </w14:solidFill>
                </w14:textFill>
              </w:rPr>
              <w:t>⑤</w:t>
            </w:r>
            <w:r>
              <w:rPr>
                <w:rFonts w:hint="eastAsia" w:ascii="仿宋" w:hAnsi="仿宋" w:eastAsia="仿宋"/>
                <w:color w:val="000000" w:themeColor="text1"/>
                <w:szCs w:val="21"/>
                <w:lang w:val="en-US" w:eastAsia="zh-CN"/>
                <w14:textFill>
                  <w14:solidFill>
                    <w14:schemeClr w14:val="tx1"/>
                  </w14:solidFill>
                </w14:textFill>
              </w:rPr>
              <w:t>保养服务质量保障措施</w:t>
            </w:r>
            <w:r>
              <w:rPr>
                <w:rFonts w:hint="eastAsia" w:ascii="仿宋" w:hAnsi="仿宋" w:eastAsia="仿宋"/>
                <w:color w:val="000000" w:themeColor="text1"/>
                <w:szCs w:val="21"/>
                <w14:textFill>
                  <w14:solidFill>
                    <w14:schemeClr w14:val="tx1"/>
                  </w14:solidFill>
                </w14:textFill>
              </w:rPr>
              <w:t>⑥紧急故障</w:t>
            </w:r>
            <w:r>
              <w:rPr>
                <w:rFonts w:hint="eastAsia" w:ascii="仿宋" w:hAnsi="仿宋" w:eastAsia="仿宋"/>
                <w:color w:val="000000" w:themeColor="text1"/>
                <w:szCs w:val="21"/>
                <w:lang w:val="en-US" w:eastAsia="zh-CN"/>
                <w14:textFill>
                  <w14:solidFill>
                    <w14:schemeClr w14:val="tx1"/>
                  </w14:solidFill>
                </w14:textFill>
              </w:rPr>
              <w:t>处置</w:t>
            </w:r>
            <w:r>
              <w:rPr>
                <w:rFonts w:hint="eastAsia" w:ascii="仿宋" w:hAnsi="仿宋" w:eastAsia="仿宋"/>
                <w:color w:val="000000" w:themeColor="text1"/>
                <w:szCs w:val="21"/>
                <w14:textFill>
                  <w14:solidFill>
                    <w14:schemeClr w14:val="tx1"/>
                  </w14:solidFill>
                </w14:textFill>
              </w:rPr>
              <w:t>方案</w:t>
            </w:r>
          </w:p>
          <w:p w14:paraId="7C17DD30">
            <w:pPr>
              <w:spacing w:line="340" w:lineRule="exact"/>
              <w:rPr>
                <w:rFonts w:hint="eastAsia" w:ascii="仿宋" w:hAnsi="仿宋" w:eastAsia="仿宋"/>
                <w:color w:val="000000"/>
                <w:szCs w:val="21"/>
              </w:rPr>
            </w:pPr>
            <w:r>
              <w:rPr>
                <w:rFonts w:hint="eastAsia" w:ascii="仿宋" w:hAnsi="仿宋" w:eastAsia="仿宋"/>
                <w:color w:val="000000"/>
                <w:szCs w:val="21"/>
              </w:rPr>
              <w:t>包含以上</w:t>
            </w:r>
            <w:r>
              <w:rPr>
                <w:rFonts w:hint="eastAsia" w:ascii="仿宋" w:hAnsi="仿宋" w:eastAsia="仿宋"/>
                <w:color w:val="000000"/>
                <w:szCs w:val="21"/>
                <w:lang w:val="en-US" w:eastAsia="zh-CN"/>
              </w:rPr>
              <w:t>6</w:t>
            </w:r>
            <w:r>
              <w:rPr>
                <w:rFonts w:hint="eastAsia" w:ascii="仿宋" w:hAnsi="仿宋" w:eastAsia="仿宋"/>
                <w:color w:val="000000"/>
                <w:szCs w:val="21"/>
              </w:rPr>
              <w:t>项所有内容得</w:t>
            </w:r>
            <w:r>
              <w:rPr>
                <w:rFonts w:hint="eastAsia" w:ascii="仿宋" w:hAnsi="仿宋" w:eastAsia="仿宋"/>
                <w:color w:val="000000"/>
                <w:szCs w:val="21"/>
                <w:lang w:val="en-US" w:eastAsia="zh-CN"/>
              </w:rPr>
              <w:t>42</w:t>
            </w:r>
            <w:r>
              <w:rPr>
                <w:rFonts w:hint="eastAsia" w:ascii="仿宋" w:hAnsi="仿宋" w:eastAsia="仿宋"/>
                <w:color w:val="000000"/>
                <w:szCs w:val="21"/>
              </w:rPr>
              <w:t>分；每缺一项扣</w:t>
            </w:r>
            <w:r>
              <w:rPr>
                <w:rFonts w:hint="eastAsia" w:ascii="仿宋" w:hAnsi="仿宋" w:eastAsia="仿宋"/>
                <w:color w:val="000000"/>
                <w:szCs w:val="21"/>
                <w:lang w:val="en-US" w:eastAsia="zh-CN"/>
              </w:rPr>
              <w:t>7</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val="en-US" w:eastAsia="zh-CN"/>
              </w:rPr>
              <w:t>3.5</w:t>
            </w:r>
            <w:r>
              <w:rPr>
                <w:rFonts w:hint="eastAsia" w:ascii="仿宋" w:hAnsi="仿宋" w:eastAsia="仿宋"/>
                <w:color w:val="000000"/>
                <w:szCs w:val="21"/>
              </w:rPr>
              <w:t>分，扣完为止。</w:t>
            </w:r>
          </w:p>
        </w:tc>
        <w:tc>
          <w:tcPr>
            <w:tcW w:w="501" w:type="pct"/>
            <w:vAlign w:val="center"/>
          </w:tcPr>
          <w:p w14:paraId="4587038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主观评分因素</w:t>
            </w:r>
          </w:p>
        </w:tc>
      </w:tr>
      <w:tr w14:paraId="37EC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Align w:val="center"/>
          </w:tcPr>
          <w:p w14:paraId="0800FC1B">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3</w:t>
            </w:r>
          </w:p>
        </w:tc>
        <w:tc>
          <w:tcPr>
            <w:tcW w:w="687" w:type="pct"/>
            <w:vAlign w:val="center"/>
          </w:tcPr>
          <w:p w14:paraId="020DD101">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rPr>
              <w:t>人员培训方案</w:t>
            </w:r>
            <w:r>
              <w:rPr>
                <w:rFonts w:hint="eastAsia" w:ascii="仿宋" w:hAnsi="仿宋" w:eastAsia="仿宋"/>
                <w:color w:val="000000"/>
                <w:kern w:val="2"/>
                <w:szCs w:val="21"/>
                <w:lang w:val="en-US" w:eastAsia="zh-CN"/>
              </w:rPr>
              <w:t>8</w:t>
            </w:r>
            <w:r>
              <w:rPr>
                <w:rFonts w:hint="eastAsia" w:ascii="仿宋" w:hAnsi="仿宋" w:eastAsia="仿宋"/>
                <w:color w:val="000000"/>
                <w:szCs w:val="21"/>
                <w:lang w:val="en-US" w:eastAsia="zh-CN"/>
              </w:rPr>
              <w:t>％</w:t>
            </w:r>
          </w:p>
        </w:tc>
        <w:tc>
          <w:tcPr>
            <w:tcW w:w="474" w:type="pct"/>
            <w:vAlign w:val="center"/>
          </w:tcPr>
          <w:p w14:paraId="79170CF8">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8</w:t>
            </w:r>
            <w:r>
              <w:rPr>
                <w:rFonts w:hint="eastAsia" w:ascii="仿宋" w:hAnsi="仿宋" w:eastAsia="仿宋"/>
                <w:color w:val="000000"/>
                <w:szCs w:val="21"/>
              </w:rPr>
              <w:t>分</w:t>
            </w:r>
          </w:p>
        </w:tc>
        <w:tc>
          <w:tcPr>
            <w:tcW w:w="2947" w:type="pct"/>
            <w:vAlign w:val="center"/>
          </w:tcPr>
          <w:p w14:paraId="44B3B404">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根据供应商针对本项目制定的服务方案进行评审，内容需包括：①体系文件学习培训②理论基础培训③应急处理措施培训④现场实际操作培训</w:t>
            </w:r>
          </w:p>
          <w:p w14:paraId="5EAA365C">
            <w:pPr>
              <w:spacing w:line="400" w:lineRule="exact"/>
              <w:ind w:firstLine="0" w:firstLineChars="0"/>
              <w:jc w:val="both"/>
            </w:pPr>
            <w:r>
              <w:rPr>
                <w:rFonts w:ascii="仿宋" w:hAnsi="仿宋" w:eastAsia="仿宋"/>
                <w:sz w:val="21"/>
                <w:szCs w:val="21"/>
              </w:rPr>
              <w:t>包含以上</w:t>
            </w:r>
            <w:r>
              <w:rPr>
                <w:rFonts w:hint="eastAsia" w:ascii="仿宋" w:hAnsi="仿宋" w:eastAsia="仿宋"/>
                <w:sz w:val="21"/>
                <w:szCs w:val="21"/>
                <w:lang w:val="en-US" w:eastAsia="zh-CN"/>
              </w:rPr>
              <w:t>4</w:t>
            </w:r>
            <w:r>
              <w:rPr>
                <w:rFonts w:ascii="仿宋" w:hAnsi="仿宋" w:eastAsia="仿宋"/>
                <w:sz w:val="21"/>
                <w:szCs w:val="21"/>
              </w:rPr>
              <w:t>项</w:t>
            </w:r>
            <w:r>
              <w:rPr>
                <w:rFonts w:hint="eastAsia" w:ascii="仿宋" w:hAnsi="仿宋" w:eastAsia="仿宋"/>
                <w:color w:val="000000"/>
                <w:szCs w:val="21"/>
              </w:rPr>
              <w:t>所有内容得</w:t>
            </w:r>
            <w:r>
              <w:rPr>
                <w:rFonts w:hint="eastAsia" w:ascii="仿宋" w:hAnsi="仿宋" w:eastAsia="仿宋"/>
                <w:color w:val="000000"/>
                <w:szCs w:val="21"/>
                <w:lang w:val="en-US" w:eastAsia="zh-CN"/>
              </w:rPr>
              <w:t>8</w:t>
            </w:r>
            <w:r>
              <w:rPr>
                <w:rFonts w:hint="eastAsia" w:ascii="仿宋" w:hAnsi="仿宋" w:eastAsia="仿宋"/>
                <w:color w:val="000000"/>
                <w:szCs w:val="21"/>
              </w:rPr>
              <w:t>分；每缺一项扣</w:t>
            </w:r>
            <w:r>
              <w:rPr>
                <w:rFonts w:hint="eastAsia" w:ascii="仿宋" w:hAnsi="仿宋" w:eastAsia="仿宋"/>
                <w:color w:val="000000"/>
                <w:szCs w:val="21"/>
                <w:lang w:val="en-US" w:eastAsia="zh-CN"/>
              </w:rPr>
              <w:t>2</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val="en-US" w:eastAsia="zh-CN"/>
              </w:rPr>
              <w:t>1</w:t>
            </w:r>
            <w:r>
              <w:rPr>
                <w:rFonts w:hint="eastAsia" w:ascii="仿宋" w:hAnsi="仿宋" w:eastAsia="仿宋"/>
                <w:color w:val="000000"/>
                <w:szCs w:val="21"/>
              </w:rPr>
              <w:t>分，扣完为止。</w:t>
            </w:r>
          </w:p>
        </w:tc>
        <w:tc>
          <w:tcPr>
            <w:tcW w:w="501" w:type="pct"/>
            <w:vAlign w:val="center"/>
          </w:tcPr>
          <w:p w14:paraId="72D363E8">
            <w:pPr>
              <w:adjustRightInd w:val="0"/>
              <w:spacing w:line="440" w:lineRule="exact"/>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101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600EC1DC">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4</w:t>
            </w:r>
          </w:p>
        </w:tc>
        <w:tc>
          <w:tcPr>
            <w:tcW w:w="687" w:type="pct"/>
            <w:vAlign w:val="center"/>
          </w:tcPr>
          <w:p w14:paraId="70802FAF">
            <w:pPr>
              <w:spacing w:line="440" w:lineRule="exact"/>
              <w:jc w:val="center"/>
              <w:rPr>
                <w:rFonts w:hint="eastAsia" w:ascii="仿宋" w:hAnsi="仿宋" w:eastAsia="仿宋"/>
                <w:color w:val="000000"/>
                <w:szCs w:val="21"/>
              </w:rPr>
            </w:pPr>
            <w:r>
              <w:rPr>
                <w:rFonts w:hint="eastAsia" w:ascii="仿宋" w:hAnsi="仿宋" w:eastAsia="仿宋"/>
                <w:color w:val="000000"/>
                <w:szCs w:val="21"/>
              </w:rPr>
              <w:t>类似业绩</w:t>
            </w:r>
            <w:r>
              <w:rPr>
                <w:rFonts w:hint="eastAsia" w:ascii="仿宋" w:hAnsi="仿宋" w:eastAsia="仿宋"/>
                <w:color w:val="000000"/>
                <w:szCs w:val="21"/>
                <w:lang w:val="en-US" w:eastAsia="zh-CN"/>
              </w:rPr>
              <w:t>6</w:t>
            </w:r>
            <w:r>
              <w:rPr>
                <w:rFonts w:hint="eastAsia" w:ascii="仿宋" w:hAnsi="仿宋" w:eastAsia="仿宋"/>
                <w:color w:val="000000"/>
                <w:szCs w:val="21"/>
              </w:rPr>
              <w:t>%</w:t>
            </w:r>
          </w:p>
        </w:tc>
        <w:tc>
          <w:tcPr>
            <w:tcW w:w="474" w:type="pct"/>
            <w:vAlign w:val="center"/>
          </w:tcPr>
          <w:p w14:paraId="6E5162E3">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6</w:t>
            </w:r>
            <w:r>
              <w:rPr>
                <w:rFonts w:hint="eastAsia" w:ascii="仿宋" w:hAnsi="仿宋" w:eastAsia="仿宋"/>
                <w:color w:val="000000"/>
                <w:szCs w:val="21"/>
              </w:rPr>
              <w:t>分</w:t>
            </w:r>
          </w:p>
        </w:tc>
        <w:tc>
          <w:tcPr>
            <w:tcW w:w="2947" w:type="pct"/>
            <w:vAlign w:val="center"/>
          </w:tcPr>
          <w:p w14:paraId="73FE9754">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根据供应商类似项目业绩（2023年1月1日至递交投标文件截止日）进行评定，每提供一个</w:t>
            </w:r>
            <w:r>
              <w:rPr>
                <w:rFonts w:hint="eastAsia" w:ascii="仿宋" w:hAnsi="仿宋" w:eastAsia="仿宋" w:cs="Arial"/>
                <w:color w:val="auto"/>
                <w:sz w:val="21"/>
                <w:szCs w:val="21"/>
                <w:lang w:val="en-US" w:eastAsia="zh-CN" w:bidi="ar-SA"/>
              </w:rPr>
              <w:t>柴发建设类或技术支持服务类项目</w:t>
            </w:r>
            <w:r>
              <w:rPr>
                <w:rFonts w:hint="eastAsia" w:ascii="Times New Roman" w:hAnsi="Times New Roman" w:eastAsia="仿宋" w:cs="Times New Roman"/>
                <w:color w:val="000000" w:themeColor="text1"/>
                <w14:textFill>
                  <w14:solidFill>
                    <w14:schemeClr w14:val="tx1"/>
                  </w14:solidFill>
                </w14:textFill>
              </w:rPr>
              <w:t>类似业绩得</w:t>
            </w: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14:textFill>
                  <w14:solidFill>
                    <w14:schemeClr w14:val="tx1"/>
                  </w14:solidFill>
                </w14:textFill>
              </w:rPr>
              <w:t>分，最多得</w:t>
            </w:r>
            <w:r>
              <w:rPr>
                <w:rFonts w:hint="eastAsia" w:ascii="Times New Roman" w:hAnsi="Times New Roman" w:eastAsia="仿宋" w:cs="Times New Roman"/>
                <w:color w:val="000000" w:themeColor="text1"/>
                <w:lang w:val="en-US" w:eastAsia="zh-CN"/>
                <w14:textFill>
                  <w14:solidFill>
                    <w14:schemeClr w14:val="tx1"/>
                  </w14:solidFill>
                </w14:textFill>
              </w:rPr>
              <w:t>6</w:t>
            </w:r>
            <w:r>
              <w:rPr>
                <w:rFonts w:hint="eastAsia" w:ascii="Times New Roman" w:hAnsi="Times New Roman" w:eastAsia="仿宋" w:cs="Times New Roman"/>
                <w:color w:val="000000" w:themeColor="text1"/>
                <w14:textFill>
                  <w14:solidFill>
                    <w14:schemeClr w14:val="tx1"/>
                  </w14:solidFill>
                </w14:textFill>
              </w:rPr>
              <w:t>分。</w:t>
            </w:r>
          </w:p>
          <w:p w14:paraId="5D98468F">
            <w:pPr>
              <w:pStyle w:val="7"/>
              <w:spacing w:after="0" w:line="400" w:lineRule="exact"/>
              <w:rPr>
                <w:rFonts w:eastAsia="仿宋"/>
              </w:rPr>
            </w:pPr>
            <w:r>
              <w:rPr>
                <w:rFonts w:hint="eastAsia" w:ascii="Times New Roman" w:hAnsi="Times New Roman" w:eastAsia="仿宋" w:cs="Times New Roman"/>
                <w:color w:val="000000" w:themeColor="text1"/>
                <w14:textFill>
                  <w14:solidFill>
                    <w14:schemeClr w14:val="tx1"/>
                  </w14:solidFill>
                </w14:textFill>
              </w:rPr>
              <w:t>注：提供</w:t>
            </w:r>
            <w:r>
              <w:rPr>
                <w:rFonts w:hint="eastAsia" w:ascii="Times New Roman" w:hAnsi="Times New Roman" w:eastAsia="仿宋" w:cs="Times New Roman"/>
                <w:color w:val="000000" w:themeColor="text1"/>
                <w:lang w:val="en-US" w:eastAsia="zh-CN"/>
                <w14:textFill>
                  <w14:solidFill>
                    <w14:schemeClr w14:val="tx1"/>
                  </w14:solidFill>
                </w14:textFill>
              </w:rPr>
              <w:t>服务</w:t>
            </w:r>
            <w:r>
              <w:rPr>
                <w:rFonts w:hint="eastAsia" w:ascii="Times New Roman" w:hAnsi="Times New Roman" w:eastAsia="仿宋" w:cs="Times New Roman"/>
                <w:color w:val="000000" w:themeColor="text1"/>
                <w14:textFill>
                  <w14:solidFill>
                    <w14:schemeClr w14:val="tx1"/>
                  </w14:solidFill>
                </w14:textFill>
              </w:rPr>
              <w:t>合同扫描件或中标（成交）通知书</w:t>
            </w:r>
            <w:r>
              <w:rPr>
                <w:rFonts w:hint="eastAsia" w:ascii="Times New Roman" w:hAnsi="Times New Roman" w:eastAsia="仿宋" w:cs="Times New Roman"/>
                <w:color w:val="000000" w:themeColor="text1"/>
                <w:lang w:val="en-US" w:eastAsia="zh-CN"/>
                <w14:textFill>
                  <w14:solidFill>
                    <w14:schemeClr w14:val="tx1"/>
                  </w14:solidFill>
                </w14:textFill>
              </w:rPr>
              <w:t>复印</w:t>
            </w:r>
            <w:r>
              <w:rPr>
                <w:rFonts w:hint="eastAsia" w:ascii="Times New Roman" w:hAnsi="Times New Roman" w:eastAsia="仿宋" w:cs="Times New Roman"/>
                <w:color w:val="000000" w:themeColor="text1"/>
                <w14:textFill>
                  <w14:solidFill>
                    <w14:schemeClr w14:val="tx1"/>
                  </w14:solidFill>
                </w14:textFill>
              </w:rPr>
              <w:t>件，加盖供应商公章。</w:t>
            </w:r>
          </w:p>
        </w:tc>
        <w:tc>
          <w:tcPr>
            <w:tcW w:w="501" w:type="pct"/>
            <w:vAlign w:val="center"/>
          </w:tcPr>
          <w:p w14:paraId="469B18D4">
            <w:pPr>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r w14:paraId="480F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4E930ABA">
            <w:pPr>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5</w:t>
            </w:r>
          </w:p>
        </w:tc>
        <w:tc>
          <w:tcPr>
            <w:tcW w:w="687" w:type="pct"/>
            <w:vAlign w:val="center"/>
          </w:tcPr>
          <w:p w14:paraId="7368CBE0">
            <w:pPr>
              <w:spacing w:line="440" w:lineRule="exact"/>
              <w:jc w:val="center"/>
              <w:rPr>
                <w:rFonts w:hint="eastAsia" w:ascii="仿宋" w:hAnsi="仿宋" w:eastAsia="仿宋"/>
                <w:color w:val="000000"/>
                <w:szCs w:val="21"/>
              </w:rPr>
            </w:pPr>
            <w:r>
              <w:rPr>
                <w:rFonts w:hint="eastAsia" w:ascii="仿宋" w:hAnsi="仿宋" w:eastAsia="仿宋"/>
                <w:color w:val="000000"/>
                <w:szCs w:val="21"/>
              </w:rPr>
              <w:t>管理体系认证</w:t>
            </w:r>
            <w:r>
              <w:rPr>
                <w:rFonts w:hint="eastAsia" w:ascii="仿宋" w:hAnsi="仿宋" w:eastAsia="仿宋"/>
                <w:color w:val="auto"/>
                <w:szCs w:val="21"/>
                <w:lang w:val="en-US" w:eastAsia="zh-CN"/>
              </w:rPr>
              <w:t>4%</w:t>
            </w:r>
          </w:p>
        </w:tc>
        <w:tc>
          <w:tcPr>
            <w:tcW w:w="474" w:type="pct"/>
            <w:vAlign w:val="center"/>
          </w:tcPr>
          <w:p w14:paraId="2C83BCE1">
            <w:pPr>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4分</w:t>
            </w:r>
          </w:p>
        </w:tc>
        <w:tc>
          <w:tcPr>
            <w:tcW w:w="2947" w:type="pct"/>
            <w:vAlign w:val="center"/>
          </w:tcPr>
          <w:p w14:paraId="502FD119">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供应商提供在有效期内的质量管理体系认证证书、环境管理体系认证证书、职业健康安全管理体系认证证书、3A信用等级证书，每提供1项得1分，本项最高得 4 分。</w:t>
            </w:r>
          </w:p>
          <w:p w14:paraId="2A80C4BC">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注：①证书须在有效期内，提供证书扫描件，未提供或证书过期不予得分；②本项不要求全部具备，按实际有效证书数量计分。</w:t>
            </w:r>
          </w:p>
        </w:tc>
        <w:tc>
          <w:tcPr>
            <w:tcW w:w="501" w:type="pct"/>
            <w:vAlign w:val="center"/>
          </w:tcPr>
          <w:p w14:paraId="318884D8">
            <w:pPr>
              <w:spacing w:line="440" w:lineRule="exact"/>
              <w:jc w:val="center"/>
              <w:rPr>
                <w:rFonts w:hint="default" w:ascii="仿宋" w:hAnsi="仿宋" w:eastAsia="仿宋" w:cs="Arial"/>
                <w:color w:val="000000"/>
                <w:sz w:val="21"/>
                <w:szCs w:val="21"/>
                <w:lang w:val="en-US" w:eastAsia="zh-CN"/>
              </w:rPr>
            </w:pPr>
            <w:r>
              <w:rPr>
                <w:rFonts w:hint="eastAsia" w:ascii="仿宋" w:hAnsi="仿宋" w:eastAsia="仿宋" w:cs="Arial"/>
                <w:color w:val="000000"/>
                <w:sz w:val="21"/>
                <w:szCs w:val="21"/>
                <w:lang w:val="en-US" w:eastAsia="zh-CN"/>
              </w:rPr>
              <w:t>客观评分因素</w:t>
            </w:r>
          </w:p>
        </w:tc>
      </w:tr>
    </w:tbl>
    <w:p w14:paraId="2F607D93">
      <w:pPr>
        <w:spacing w:line="360" w:lineRule="auto"/>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83" w:name="_Toc5506"/>
      <w:bookmarkStart w:id="284" w:name="_Toc14607"/>
      <w:bookmarkStart w:id="285" w:name="_Toc1204"/>
      <w:bookmarkStart w:id="286" w:name="_Toc30258"/>
      <w:r>
        <w:rPr>
          <w:rFonts w:ascii="Times New Roman" w:hAnsi="Times New Roman" w:eastAsia="仿宋" w:cs="Times New Roman"/>
          <w:b/>
          <w:sz w:val="24"/>
        </w:rPr>
        <w:t>4.磋商纪律及注意事项</w:t>
      </w:r>
      <w:bookmarkEnd w:id="283"/>
      <w:bookmarkEnd w:id="284"/>
      <w:bookmarkEnd w:id="285"/>
      <w:bookmarkEnd w:id="286"/>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87" w:name="_Toc30732"/>
      <w:bookmarkStart w:id="288" w:name="_Toc18701"/>
      <w:bookmarkStart w:id="289" w:name="_Toc25972"/>
      <w:bookmarkStart w:id="290" w:name="_Toc13324"/>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87"/>
      <w:bookmarkEnd w:id="288"/>
      <w:bookmarkEnd w:id="289"/>
      <w:bookmarkEnd w:id="290"/>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91" w:name="_Toc10699"/>
      <w:bookmarkStart w:id="292" w:name="_Toc9910"/>
      <w:bookmarkStart w:id="293" w:name="_Toc2807"/>
      <w:bookmarkStart w:id="294" w:name="_Toc1787"/>
      <w:r>
        <w:rPr>
          <w:rFonts w:ascii="Times New Roman" w:hAnsi="Times New Roman" w:eastAsia="仿宋" w:cs="Times New Roman"/>
          <w:b/>
          <w:sz w:val="24"/>
        </w:rPr>
        <w:t>6.磋商小组在采购活动中应当遵守以下工作纪律：</w:t>
      </w:r>
      <w:bookmarkEnd w:id="291"/>
      <w:bookmarkEnd w:id="292"/>
      <w:bookmarkEnd w:id="293"/>
      <w:bookmarkEnd w:id="294"/>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95" w:name="_Toc24122"/>
      <w:bookmarkStart w:id="296" w:name="_Toc9595"/>
      <w:bookmarkStart w:id="297" w:name="_Toc21951"/>
      <w:bookmarkStart w:id="298" w:name="_Toc112053984"/>
      <w:bookmarkStart w:id="299" w:name="_Toc31664"/>
      <w:bookmarkStart w:id="300" w:name="_Toc31727"/>
    </w:p>
    <w:p w14:paraId="614A152E">
      <w:pPr>
        <w:tabs>
          <w:tab w:val="left" w:pos="7665"/>
        </w:tabs>
        <w:spacing w:line="560" w:lineRule="exact"/>
        <w:jc w:val="center"/>
        <w:outlineLvl w:val="0"/>
        <w:rPr>
          <w:rFonts w:ascii="Times New Roman" w:hAnsi="Times New Roman" w:eastAsia="仿宋" w:cs="Times New Roman"/>
          <w:b/>
          <w:bCs/>
          <w:sz w:val="36"/>
          <w:szCs w:val="36"/>
        </w:rPr>
      </w:pPr>
    </w:p>
    <w:p w14:paraId="7134541C">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95"/>
      <w:bookmarkEnd w:id="296"/>
      <w:bookmarkEnd w:id="297"/>
      <w:bookmarkEnd w:id="298"/>
      <w:bookmarkEnd w:id="299"/>
      <w:bookmarkEnd w:id="300"/>
    </w:p>
    <w:p w14:paraId="158F4730">
      <w:pPr>
        <w:spacing w:line="360" w:lineRule="auto"/>
        <w:rPr>
          <w:rFonts w:ascii="Times New Roman" w:hAnsi="Times New Roman" w:eastAsia="仿宋" w:cs="Times New Roman"/>
          <w:b/>
          <w:sz w:val="24"/>
        </w:rPr>
      </w:pPr>
      <w:bookmarkStart w:id="301" w:name="_Toc28475"/>
      <w:r>
        <w:rPr>
          <w:rFonts w:ascii="Times New Roman" w:hAnsi="Times New Roman" w:eastAsia="仿宋" w:cs="Times New Roman"/>
          <w:b/>
          <w:sz w:val="24"/>
        </w:rPr>
        <w:t>合同草案条款</w:t>
      </w:r>
      <w:bookmarkEnd w:id="301"/>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2" w:name="_Toc211854449"/>
      <w:bookmarkStart w:id="303" w:name="_Toc225244852"/>
      <w:bookmarkStart w:id="304" w:name="_Toc286993786"/>
      <w:bookmarkStart w:id="305" w:name="_Toc225654644"/>
      <w:bookmarkStart w:id="306" w:name="_Toc241833903"/>
      <w:bookmarkStart w:id="307" w:name="_Toc239568418"/>
      <w:bookmarkStart w:id="308" w:name="_Toc232492928"/>
      <w:bookmarkStart w:id="309" w:name="_Toc282696226"/>
      <w:bookmarkStart w:id="310" w:name="_Toc283019214"/>
      <w:bookmarkStart w:id="311" w:name="_Toc237145406"/>
      <w:bookmarkStart w:id="312" w:name="_Toc225670751"/>
      <w:bookmarkStart w:id="313" w:name="_Toc211911348"/>
      <w:bookmarkStart w:id="314" w:name="_Toc239233914"/>
      <w:bookmarkStart w:id="315" w:name="_Toc238984975"/>
      <w:bookmarkStart w:id="316" w:name="_Toc185395249"/>
      <w:bookmarkStart w:id="317" w:name="_Toc212019594"/>
      <w:bookmarkStart w:id="318" w:name="_Toc251768862"/>
      <w:bookmarkStart w:id="319" w:name="_Toc247334841"/>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0" w:name="_Toc232492933"/>
      <w:bookmarkStart w:id="321" w:name="_Toc286993792"/>
      <w:bookmarkStart w:id="322" w:name="_Toc251768867"/>
      <w:bookmarkStart w:id="323" w:name="_Toc225244857"/>
      <w:bookmarkStart w:id="324" w:name="_Toc185395254"/>
      <w:bookmarkStart w:id="325" w:name="_Toc212019599"/>
      <w:bookmarkStart w:id="326" w:name="_Toc225670756"/>
      <w:bookmarkStart w:id="327" w:name="_Toc211911353"/>
      <w:bookmarkStart w:id="328" w:name="_Toc241833908"/>
      <w:bookmarkStart w:id="329" w:name="_Toc238984980"/>
      <w:bookmarkStart w:id="330" w:name="_Toc237145411"/>
      <w:bookmarkStart w:id="331" w:name="_Toc225654649"/>
      <w:bookmarkStart w:id="332" w:name="_Toc247334846"/>
      <w:bookmarkStart w:id="333" w:name="_Toc239233919"/>
      <w:bookmarkStart w:id="334" w:name="_Toc239568423"/>
      <w:bookmarkStart w:id="335" w:name="_Toc211854454"/>
      <w:r>
        <w:rPr>
          <w:rFonts w:ascii="Times New Roman" w:hAnsi="Times New Roman" w:eastAsia="仿宋" w:cs="Times New Roman"/>
          <w:b/>
          <w:spacing w:val="8"/>
          <w:sz w:val="24"/>
        </w:rPr>
        <w:t>13. 解决合同纠纷的方式</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36" w:name="_Toc247334847"/>
      <w:bookmarkStart w:id="337" w:name="_Toc283019219"/>
      <w:bookmarkStart w:id="338" w:name="_Toc212019600"/>
      <w:bookmarkStart w:id="339" w:name="_Toc225670757"/>
      <w:bookmarkStart w:id="340" w:name="_Toc232492934"/>
      <w:bookmarkStart w:id="341" w:name="_Toc239233920"/>
      <w:bookmarkStart w:id="342" w:name="_Toc286993793"/>
      <w:bookmarkStart w:id="343" w:name="_Toc282696231"/>
      <w:bookmarkStart w:id="344" w:name="_Toc211911354"/>
      <w:bookmarkStart w:id="345" w:name="_Toc239568424"/>
      <w:bookmarkStart w:id="346" w:name="_Toc241833909"/>
      <w:bookmarkStart w:id="347" w:name="_Toc238984981"/>
      <w:bookmarkStart w:id="348" w:name="_Toc211854455"/>
      <w:bookmarkStart w:id="349" w:name="_Toc185395255"/>
      <w:bookmarkStart w:id="350" w:name="_Toc237145412"/>
      <w:bookmarkStart w:id="351" w:name="_Toc225244858"/>
      <w:bookmarkStart w:id="352" w:name="_Toc225654650"/>
      <w:bookmarkStart w:id="353" w:name="_Toc251768868"/>
      <w:r>
        <w:rPr>
          <w:rFonts w:ascii="Times New Roman" w:hAnsi="Times New Roman" w:eastAsia="仿宋" w:cs="Times New Roman"/>
          <w:b/>
          <w:spacing w:val="8"/>
          <w:sz w:val="24"/>
        </w:rPr>
        <w:t>14. 合同</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3"/>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54" w:name="_Toc349810624"/>
      <w:bookmarkStart w:id="355" w:name="_Toc350864527"/>
    </w:p>
    <w:bookmarkEnd w:id="354"/>
    <w:bookmarkEnd w:id="355"/>
    <w:p w14:paraId="06AA1AFB">
      <w:pPr>
        <w:rPr>
          <w:rFonts w:ascii="Times New Roman" w:hAnsi="Times New Roman" w:eastAsia="仿宋" w:cs="Times New Roman"/>
          <w:b/>
          <w:sz w:val="32"/>
        </w:rPr>
      </w:pPr>
      <w:bookmarkStart w:id="356" w:name="_Toc7369"/>
      <w:bookmarkStart w:id="357" w:name="_Toc112053985"/>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58" w:name="_Toc17055"/>
      <w:r>
        <w:rPr>
          <w:rFonts w:ascii="Times New Roman" w:hAnsi="Times New Roman" w:eastAsia="仿宋" w:cs="Times New Roman"/>
          <w:b/>
          <w:sz w:val="32"/>
        </w:rPr>
        <w:t>附件</w:t>
      </w:r>
      <w:bookmarkEnd w:id="356"/>
      <w:bookmarkEnd w:id="357"/>
      <w:bookmarkEnd w:id="358"/>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1"/>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9A4D341-9891-4C9B-B2A1-587A679D9704}"/>
  </w:font>
  <w:font w:name="黑体">
    <w:panose1 w:val="02010609060101010101"/>
    <w:charset w:val="86"/>
    <w:family w:val="auto"/>
    <w:pitch w:val="default"/>
    <w:sig w:usb0="800002BF" w:usb1="38CF7CFA" w:usb2="00000016" w:usb3="00000000" w:csb0="00040001" w:csb1="00000000"/>
    <w:embedRegular r:id="rId2" w:fontKey="{3D5B0D4B-B479-44A1-BE31-1C7AC05270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embedRegular r:id="rId3" w:fontKey="{7A3B9CE5-2DF1-43D6-B231-34F381DA63F2}"/>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5832001E-B69C-4C91-A543-6676962E4B04}"/>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8A665EAD-6EEB-454D-883A-A3C3A46CC59D}"/>
  </w:font>
  <w:font w:name="MS Gothic">
    <w:panose1 w:val="020B0609070205080204"/>
    <w:charset w:val="80"/>
    <w:family w:val="modern"/>
    <w:pitch w:val="default"/>
    <w:sig w:usb0="E00002FF" w:usb1="6AC7FDFB" w:usb2="08000012" w:usb3="00000000" w:csb0="4002009F" w:csb1="DFD70000"/>
    <w:embedRegular r:id="rId6" w:fontKey="{441E6B09-63C8-4B16-A434-123ACB80A3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3"/>
      <w:jc w:val="center"/>
    </w:pPr>
  </w:p>
  <w:p w14:paraId="558B8581">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3"/>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C2A8E"/>
    <w:multiLevelType w:val="singleLevel"/>
    <w:tmpl w:val="9C5C2A8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7565116"/>
    <w:rsid w:val="089D2EAF"/>
    <w:rsid w:val="08D26EB3"/>
    <w:rsid w:val="08EC64B1"/>
    <w:rsid w:val="0A04230B"/>
    <w:rsid w:val="0B462AF6"/>
    <w:rsid w:val="0CC60D00"/>
    <w:rsid w:val="12A86678"/>
    <w:rsid w:val="14222AF4"/>
    <w:rsid w:val="146C4B1C"/>
    <w:rsid w:val="19EA650F"/>
    <w:rsid w:val="1A080DB3"/>
    <w:rsid w:val="1B5D36B4"/>
    <w:rsid w:val="1DC74585"/>
    <w:rsid w:val="207334FB"/>
    <w:rsid w:val="222C5EBD"/>
    <w:rsid w:val="226B4BC0"/>
    <w:rsid w:val="22A21F61"/>
    <w:rsid w:val="23B36105"/>
    <w:rsid w:val="255470FC"/>
    <w:rsid w:val="26B03985"/>
    <w:rsid w:val="2A626CDE"/>
    <w:rsid w:val="2BA72EC1"/>
    <w:rsid w:val="2DAA737E"/>
    <w:rsid w:val="2F544EB3"/>
    <w:rsid w:val="2F9724A4"/>
    <w:rsid w:val="30A478D0"/>
    <w:rsid w:val="35FF0824"/>
    <w:rsid w:val="36B54AD0"/>
    <w:rsid w:val="38AD6E93"/>
    <w:rsid w:val="3ADB3E84"/>
    <w:rsid w:val="3BDC2015"/>
    <w:rsid w:val="3F963E57"/>
    <w:rsid w:val="40A745D5"/>
    <w:rsid w:val="43D8744D"/>
    <w:rsid w:val="43ED3274"/>
    <w:rsid w:val="446D25A8"/>
    <w:rsid w:val="48CE1E02"/>
    <w:rsid w:val="4C2B7286"/>
    <w:rsid w:val="4EB5692F"/>
    <w:rsid w:val="4F84058E"/>
    <w:rsid w:val="50095F5C"/>
    <w:rsid w:val="50897B2F"/>
    <w:rsid w:val="54C45259"/>
    <w:rsid w:val="54CE1EC5"/>
    <w:rsid w:val="57B42AB2"/>
    <w:rsid w:val="58DE7204"/>
    <w:rsid w:val="59E9233D"/>
    <w:rsid w:val="65867CF6"/>
    <w:rsid w:val="68241333"/>
    <w:rsid w:val="6FE208F8"/>
    <w:rsid w:val="70D93CC5"/>
    <w:rsid w:val="723C6BE6"/>
    <w:rsid w:val="730C2677"/>
    <w:rsid w:val="75B47BC1"/>
    <w:rsid w:val="785D3204"/>
    <w:rsid w:val="7A0768B8"/>
    <w:rsid w:val="7A164167"/>
    <w:rsid w:val="7BA80E6B"/>
    <w:rsid w:val="7E543592"/>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49"/>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qFormat/>
    <w:uiPriority w:val="0"/>
    <w:pPr>
      <w:autoSpaceDE w:val="0"/>
      <w:autoSpaceDN w:val="0"/>
      <w:adjustRightInd w:val="0"/>
    </w:pPr>
    <w:rPr>
      <w:rFonts w:ascii="宋体"/>
    </w:rPr>
  </w:style>
  <w:style w:type="paragraph" w:styleId="11">
    <w:name w:val="Body Text Indent 2"/>
    <w:basedOn w:val="1"/>
    <w:qFormat/>
    <w:uiPriority w:val="0"/>
    <w:pPr>
      <w:spacing w:after="120" w:line="480" w:lineRule="auto"/>
      <w:ind w:left="200" w:leftChars="200"/>
    </w:pPr>
  </w:style>
  <w:style w:type="paragraph" w:styleId="12">
    <w:name w:val="Balloon Text"/>
    <w:basedOn w:val="1"/>
    <w:link w:val="4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宋体"/>
      <w:sz w:val="18"/>
      <w:szCs w:val="18"/>
    </w:rPr>
  </w:style>
  <w:style w:type="paragraph" w:styleId="18">
    <w:name w:val="Title"/>
    <w:basedOn w:val="1"/>
    <w:next w:val="1"/>
    <w:qFormat/>
    <w:uiPriority w:val="10"/>
    <w:pPr>
      <w:spacing w:before="240" w:after="60"/>
      <w:jc w:val="center"/>
      <w:outlineLvl w:val="0"/>
    </w:pPr>
    <w:rPr>
      <w:rFonts w:ascii="Cambria" w:hAnsi="Cambria" w:cs="Times New Roman"/>
      <w:b/>
      <w:bCs/>
      <w:sz w:val="32"/>
      <w:szCs w:val="32"/>
    </w:rPr>
  </w:style>
  <w:style w:type="paragraph" w:styleId="19">
    <w:name w:val="annotation subject"/>
    <w:basedOn w:val="6"/>
    <w:next w:val="6"/>
    <w:link w:val="50"/>
    <w:qFormat/>
    <w:uiPriority w:val="0"/>
    <w:rPr>
      <w:b/>
      <w:bCs/>
    </w:rPr>
  </w:style>
  <w:style w:type="paragraph" w:styleId="20">
    <w:name w:val="Body Text First Indent"/>
    <w:basedOn w:val="7"/>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qFormat/>
    <w:uiPriority w:val="0"/>
    <w:rPr>
      <w:sz w:val="21"/>
      <w:szCs w:val="21"/>
    </w:rPr>
  </w:style>
  <w:style w:type="paragraph" w:customStyle="1" w:styleId="28">
    <w:name w:val="样式3"/>
    <w:basedOn w:val="29"/>
    <w:qFormat/>
    <w:uiPriority w:val="0"/>
    <w:pPr>
      <w:tabs>
        <w:tab w:val="left" w:pos="6351"/>
      </w:tabs>
    </w:pPr>
    <w:rPr>
      <w:sz w:val="28"/>
      <w:szCs w:val="28"/>
    </w:rPr>
  </w:style>
  <w:style w:type="paragraph" w:customStyle="1" w:styleId="29">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0">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1">
    <w:name w:val="WPSOffice手动目录 1"/>
    <w:qFormat/>
    <w:uiPriority w:val="0"/>
    <w:rPr>
      <w:rFonts w:ascii="Calibri" w:hAnsi="Calibri" w:eastAsia="宋体" w:cs="Arial"/>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列出段落1"/>
    <w:basedOn w:val="1"/>
    <w:qFormat/>
    <w:uiPriority w:val="0"/>
    <w:pPr>
      <w:ind w:firstLine="200" w:firstLineChars="200"/>
    </w:pPr>
  </w:style>
  <w:style w:type="paragraph" w:customStyle="1" w:styleId="34">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样式 首行缩进:  2 字符"/>
    <w:basedOn w:val="1"/>
    <w:qFormat/>
    <w:uiPriority w:val="0"/>
    <w:pPr>
      <w:spacing w:line="400" w:lineRule="exact"/>
      <w:ind w:firstLine="200" w:firstLineChars="200"/>
    </w:pPr>
    <w:rPr>
      <w:rFonts w:cs="宋体"/>
      <w:sz w:val="24"/>
    </w:rPr>
  </w:style>
  <w:style w:type="paragraph" w:styleId="39">
    <w:name w:val="List Paragraph"/>
    <w:basedOn w:val="1"/>
    <w:qFormat/>
    <w:uiPriority w:val="0"/>
    <w:pPr>
      <w:ind w:firstLine="200" w:firstLineChars="200"/>
    </w:pPr>
  </w:style>
  <w:style w:type="character" w:customStyle="1" w:styleId="40">
    <w:name w:val="font21"/>
    <w:basedOn w:val="23"/>
    <w:qFormat/>
    <w:uiPriority w:val="0"/>
    <w:rPr>
      <w:rFonts w:ascii="方正仿宋_GBK" w:hAnsi="方正仿宋_GBK" w:eastAsia="方正仿宋_GBK" w:cs="方正仿宋_GBK"/>
      <w:color w:val="000000"/>
      <w:sz w:val="22"/>
      <w:szCs w:val="22"/>
      <w:u w:val="none"/>
    </w:rPr>
  </w:style>
  <w:style w:type="character" w:customStyle="1" w:styleId="41">
    <w:name w:val="font11"/>
    <w:basedOn w:val="23"/>
    <w:qFormat/>
    <w:uiPriority w:val="0"/>
    <w:rPr>
      <w:rFonts w:hint="default" w:ascii="Times New Roman" w:hAnsi="Times New Roman" w:cs="Times New Roman"/>
      <w:color w:val="000000"/>
      <w:sz w:val="22"/>
      <w:szCs w:val="22"/>
      <w:u w:val="none"/>
    </w:rPr>
  </w:style>
  <w:style w:type="character" w:customStyle="1" w:styleId="42">
    <w:name w:val="font31"/>
    <w:basedOn w:val="23"/>
    <w:qFormat/>
    <w:uiPriority w:val="0"/>
    <w:rPr>
      <w:rFonts w:hint="eastAsia" w:ascii="方正仿宋_GBK" w:hAnsi="方正仿宋_GBK" w:eastAsia="方正仿宋_GBK" w:cs="方正仿宋_GBK"/>
      <w:color w:val="000000"/>
      <w:sz w:val="28"/>
      <w:szCs w:val="28"/>
      <w:u w:val="none"/>
    </w:rPr>
  </w:style>
  <w:style w:type="paragraph" w:customStyle="1" w:styleId="43">
    <w:name w:val="null3"/>
    <w:qFormat/>
    <w:uiPriority w:val="0"/>
    <w:rPr>
      <w:rFonts w:hint="eastAsia" w:ascii="Calibri" w:hAnsi="Calibri" w:eastAsia="宋体" w:cs="宋体"/>
      <w:lang w:val="en-US" w:eastAsia="zh-CN" w:bidi="ar-SA"/>
    </w:rPr>
  </w:style>
  <w:style w:type="paragraph" w:customStyle="1" w:styleId="44">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5">
    <w:name w:val="Revision_e8340260-3136-4a3e-86bc-f7eac25a1306"/>
    <w:qFormat/>
    <w:uiPriority w:val="99"/>
    <w:rPr>
      <w:rFonts w:ascii="Calibri" w:hAnsi="Calibri" w:eastAsia="宋体" w:cs="Arial"/>
      <w:sz w:val="21"/>
      <w:szCs w:val="22"/>
      <w:lang w:val="en-US" w:eastAsia="zh-CN" w:bidi="ar-SA"/>
    </w:rPr>
  </w:style>
  <w:style w:type="character" w:customStyle="1" w:styleId="46">
    <w:name w:val="批注框文本 字符"/>
    <w:basedOn w:val="23"/>
    <w:link w:val="12"/>
    <w:qFormat/>
    <w:uiPriority w:val="0"/>
    <w:rPr>
      <w:rFonts w:ascii="Calibri" w:hAnsi="Calibri" w:cs="Arial"/>
      <w:sz w:val="18"/>
      <w:szCs w:val="18"/>
    </w:rPr>
  </w:style>
  <w:style w:type="paragraph" w:customStyle="1" w:styleId="47">
    <w:name w:val="修订1"/>
    <w:hidden/>
    <w:unhideWhenUsed/>
    <w:qFormat/>
    <w:uiPriority w:val="99"/>
    <w:rPr>
      <w:rFonts w:ascii="Calibri" w:hAnsi="Calibri" w:eastAsia="宋体" w:cs="Arial"/>
      <w:sz w:val="21"/>
      <w:szCs w:val="22"/>
      <w:lang w:val="en-US" w:eastAsia="zh-CN" w:bidi="ar-SA"/>
    </w:rPr>
  </w:style>
  <w:style w:type="paragraph" w:customStyle="1" w:styleId="48">
    <w:name w:val="Revision"/>
    <w:hidden/>
    <w:unhideWhenUsed/>
    <w:qFormat/>
    <w:uiPriority w:val="99"/>
    <w:rPr>
      <w:rFonts w:ascii="Calibri" w:hAnsi="Calibri" w:eastAsia="宋体" w:cs="Arial"/>
      <w:sz w:val="21"/>
      <w:szCs w:val="22"/>
      <w:lang w:val="en-US" w:eastAsia="zh-CN" w:bidi="ar-SA"/>
    </w:rPr>
  </w:style>
  <w:style w:type="character" w:customStyle="1" w:styleId="49">
    <w:name w:val="批注文字 字符"/>
    <w:basedOn w:val="23"/>
    <w:link w:val="6"/>
    <w:qFormat/>
    <w:uiPriority w:val="0"/>
    <w:rPr>
      <w:rFonts w:ascii="Calibri" w:hAnsi="Calibri" w:cs="Arial"/>
      <w:sz w:val="21"/>
      <w:szCs w:val="22"/>
    </w:rPr>
  </w:style>
  <w:style w:type="character" w:customStyle="1" w:styleId="50">
    <w:name w:val="批注主题 字符"/>
    <w:basedOn w:val="49"/>
    <w:link w:val="19"/>
    <w:qFormat/>
    <w:uiPriority w:val="0"/>
    <w:rPr>
      <w:rFonts w:ascii="Calibri" w:hAnsi="Calibri" w:cs="Arial"/>
      <w:b/>
      <w:bCs/>
      <w:sz w:val="21"/>
      <w:szCs w:val="22"/>
    </w:rPr>
  </w:style>
  <w:style w:type="paragraph" w:customStyle="1" w:styleId="51">
    <w:name w:val="正文正"/>
    <w:basedOn w:val="1"/>
    <w:next w:val="52"/>
    <w:qFormat/>
    <w:uiPriority w:val="0"/>
    <w:pPr>
      <w:spacing w:line="560" w:lineRule="exact"/>
      <w:ind w:firstLine="561"/>
    </w:pPr>
    <w:rPr>
      <w:rFonts w:ascii="Calibri" w:hAnsi="Calibri" w:eastAsia="仿宋_GB2312"/>
      <w:sz w:val="28"/>
    </w:rPr>
  </w:style>
  <w:style w:type="paragraph" w:customStyle="1" w:styleId="52">
    <w:name w:val="_Style 0"/>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contractReview xmlns="http://schemas.wps.cn/vas-ai-hub/contract-review">
  <reviewItems>
    <reviewItem>
      <errorID>b6590bb9-936c-4019-80ca-5080db6c05d4</errorID>
      <errorWord>/）</errorWord>
      <group>L1_Punc</group>
      <groupName>标点问题</groupName>
      <ability>L2_Punc_CN</ability>
      <abilityName>标点符号检查</abilityName>
      <candidateList>
        <item>）</item>
      </candidateList>
      <explain/>
      <paraID>361F6612</paraID>
      <start>41</start>
      <end>43</end>
      <status>ignored</status>
      <modifiedWord/>
      <trackRevisions>false</trackRevisions>
    </reviewItem>
    <reviewItem>
      <errorID>bb71baea-5fee-4491-bba0-e0c4db7aea16</errorID>
      <errorWord>所必须的</errorWord>
      <group>L1_Word</group>
      <groupName>字词问题</groupName>
      <ability>L2_Typo</ability>
      <abilityName>字词错误</abilityName>
      <candidateList>
        <item>所必需的</item>
      </candidateList>
      <explain/>
      <paraID>3A6EF869</paraID>
      <start>8</start>
      <end>12</end>
      <status>ignored</status>
      <modifiedWord/>
      <trackRevisions>false</trackRevisions>
    </reviewItem>
    <reviewItem>
      <errorID>24db1205-7813-46a6-8bdd-93a8005d0c32</errorID>
      <errorWord>日至2026年</errorWord>
      <group>L1_Word</group>
      <groupName>字词问题</groupName>
      <ability>L2_Typo</ability>
      <abilityName>字词错误</abilityName>
      <candidateList>
        <item>日起至2026年</item>
      </candidateList>
      <explain/>
      <paraID>7231B370</paraID>
      <start>14</start>
      <end>21</end>
      <status>ignored</status>
      <modifiedWord/>
      <trackRevisions>false</trackRevisions>
    </reviewItem>
    <reviewItem>
      <errorID>2a841d82-d9db-49e5-9866-30eb909ef14a</errorID>
      <errorWord>其它</errorWord>
      <group>L1_Word</group>
      <groupName>字词问题</groupName>
      <ability>L2_Alias</ability>
      <abilityName>也作/曾用词</abilityName>
      <candidateList>
        <item>其他</item>
      </candidateList>
      <explain>词汇[其它]为不规范表述或旧称，其规范书面表述为[其他]。</explain>
      <paraID>205970E5</paraID>
      <start>54</start>
      <end>56</end>
      <status>ignored</status>
      <modifiedWord/>
      <trackRevisions>false</trackRevisions>
    </reviewItem>
    <reviewItem>
      <errorID>95a9c684-71ca-4b9b-8433-0324c51299eb</errorID>
      <errorWord>一周年</errorWord>
      <group>L1_Word</group>
      <groupName>字词问题</groupName>
      <ability>L2_Typo</ability>
      <abilityName>字词错误</abilityName>
      <candidateList>
        <item>一周</item>
      </candidateList>
      <explain/>
      <paraID>7BEAC7A7</paraID>
      <start>15</start>
      <end>18</end>
      <status>ignored</status>
      <modifiedWord/>
      <trackRevisions>false</trackRevisions>
    </reviewItem>
    <reviewItem>
      <errorID>8bc5b088-12ce-4a66-8997-54740bd17385</errorID>
      <errorWord>所必须的</errorWord>
      <group>L1_Word</group>
      <groupName>字词问题</groupName>
      <ability>L2_Typo</ability>
      <abilityName>字词错误</abilityName>
      <candidateList>
        <item>所必需的</item>
      </candidateList>
      <explain/>
      <paraID>746AF599</paraID>
      <start>8</start>
      <end>12</end>
      <status>ignored</status>
      <modifiedWord/>
      <trackRevisions>false</trackRevisions>
    </reviewItem>
    <reviewItem>
      <errorID>cca971e0-0188-48d1-8845-ba964ebe68a6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1A8CF976</paraID>
      <start>0</start>
      <end>2</end>
      <status>ignored</status>
      <modifiedWord/>
      <trackRevisions>false</trackRevisions>
    </reviewItem>
    <reviewItem>
      <errorID>6baad6d1-2f27-4764-bea1-87f2f09057a9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3FBB2F6B</paraID>
      <start>0</start>
      <end>2</end>
      <status>ignored</status>
      <modifiedWord/>
      <trackRevisions>false</trackRevisions>
    </reviewItem>
    <reviewItem>
      <errorID>dc40f43f-1507-47c1-8057-a24b9287aa18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6A11413E</paraID>
      <start>0</start>
      <end>2</end>
      <status>ignored</status>
      <modifiedWord/>
      <trackRevisions>false</trackRevisions>
    </reviewItem>
    <reviewItem>
      <errorID>3873dee9-c385-4686-92b9-fa32133ea7f3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4D47DE35</paraID>
      <start>0</start>
      <end>2</end>
      <status>ignored</status>
      <modifiedWord/>
      <trackRevisions>false</trackRevisions>
    </reviewItem>
    <reviewItem>
      <errorID>ae2715a1-4e55-4e02-a9f3-b392afb84424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5A9141D1</paraID>
      <start>0</start>
      <end>2</end>
      <status>ignored</status>
      <modifiedWord/>
      <trackRevisions>false</trackRevisions>
    </reviewItem>
    <reviewItem>
      <errorID>1682a6e3-f372-4ce9-b228-7853714a381e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2347C59A</paraID>
      <start>0</start>
      <end>2</end>
      <status>ignored</status>
      <modifiedWord/>
      <trackRevisions>false</trackRevisions>
    </reviewItem>
    <reviewItem>
      <errorID>4a613eb5-0aa6-4000-b6bd-4023619ebc84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246DAC3</paraID>
      <start>0</start>
      <end>2</end>
      <status>ignored</status>
      <modifiedWord/>
      <trackRevisions>false</trackRevisions>
    </reviewItem>
    <reviewItem>
      <errorID>c24c9802-87de-4602-8ea1-3b776a7f6b98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38516576</paraID>
      <start>0</start>
      <end>2</end>
      <status>ignored</status>
      <modifiedWord/>
      <trackRevisions>false</trackRevisions>
    </reviewItem>
    <reviewItem>
      <errorID>bf9931c0-50e3-406c-8f7c-2c33d92b18e0</errorID>
      <errorWord>*</errorWord>
      <group>L1_Punc</group>
      <groupName>标点问题</groupName>
      <ability>L2_Punc_CN</ability>
      <abilityName>标点符号检查</abilityName>
      <candidateList/>
      <explain/>
      <paraID>74768006</paraID>
      <start>0</start>
      <end>1</end>
      <status>unmodified</status>
      <modifiedWord/>
      <trackRevisions>false</trackRevisions>
    </reviewItem>
    <reviewItem>
      <errorID>717a8761-b204-4948-b308-be6116a4f740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45111327</paraID>
      <start>0</start>
      <end>2</end>
      <status>ignored</status>
      <modifiedWord/>
      <trackRevisions>false</trackRevisions>
    </reviewItem>
    <reviewItem>
      <errorID>aaf9dc4d-cde3-4c15-890b-cb6b71303d55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736B5286</paraID>
      <start>0</start>
      <end>2</end>
      <status>ignored</status>
      <modifiedWord/>
      <trackRevisions>false</trackRevisions>
    </reviewItem>
    <reviewItem>
      <errorID>4be253a7-1b0a-424d-9f0f-597b169c9e87</errorID>
      <errorWord>需</errorWord>
      <group>L1_Word</group>
      <groupName>字词问题</groupName>
      <ability>L2_Typo</ability>
      <abilityName>字词错误</abilityName>
      <candidateList>
        <item>须</item>
      </candidateList>
      <explain>存在发音相同字词的误用。</explain>
      <paraID>49485372</paraID>
      <start>10</start>
      <end>11</end>
      <status>ignored</status>
      <modifiedWord/>
      <trackRevisions>false</trackRevisions>
    </reviewItem>
    <reviewItem>
      <errorID>1e9c5fe7-1154-47a3-b8d7-d8f1ccd9f092</errorID>
      <errorWord>*</errorWord>
      <group>L1_Punc</group>
      <groupName>标点问题</groupName>
      <ability>L2_Punc_CN</ability>
      <abilityName>标点符号检查</abilityName>
      <candidateList/>
      <explain/>
      <paraID>3DB7A1AD</paraID>
      <start>0</start>
      <end>1</end>
      <status>ignored</status>
      <modifiedWord/>
      <trackRevisions>false</trackRevisions>
    </reviewItem>
    <reviewItem>
      <errorID>289086ab-7fe0-4db4-b56f-e56d18f8e44e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1659E7B9</paraID>
      <start>0</start>
      <end>2</end>
      <status>ignored</status>
      <modifiedWord/>
      <trackRevisions>false</trackRevisions>
    </reviewItem>
    <reviewItem>
      <errorID>36d2c9c9-94c3-44ce-8cdf-db6510178a5d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2B4F3A28</paraID>
      <start>0</start>
      <end>2</end>
      <status>ignored</status>
      <modifiedWord/>
      <trackRevisions>false</trackRevisions>
    </reviewItem>
    <reviewItem>
      <errorID>906efff4-81f5-4571-bfdd-146d2e380b53</errorID>
      <errorWord>KW</errorWord>
      <group>L1_Word</group>
      <groupName>字词问题</groupName>
      <ability>L2_Typo</ability>
      <abilityName>字词错误</abilityName>
      <candidateList>
        <item>kW</item>
      </candidateList>
      <explain/>
      <paraID>4E29E2E3</paraID>
      <start>3</start>
      <end>5</end>
      <status>ignored</status>
      <modifiedWord/>
      <trackRevisions>false</trackRevisions>
    </reviewItem>
    <reviewItem>
      <errorID>ff499cb4-9117-4359-8cca-60abaed03aa5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56AB8927</paraID>
      <start>0</start>
      <end>2</end>
      <status>ignored</status>
      <modifiedWord/>
      <trackRevisions>false</trackRevisions>
    </reviewItem>
    <reviewItem>
      <errorID>41d21dd9-f8ed-47e3-85fe-2dd9c0e4d8e5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2016FFC6</paraID>
      <start>0</start>
      <end>2</end>
      <status>ignored</status>
      <modifiedWord/>
      <trackRevisions>false</trackRevisions>
    </reviewItem>
    <reviewItem>
      <errorID>946e7d9d-277e-4643-842d-679041a41cc7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38080A03</paraID>
      <start>0</start>
      <end>2</end>
      <status>ignored</status>
      <modifiedWord/>
      <trackRevisions>false</trackRevisions>
    </reviewItem>
    <reviewItem>
      <errorID>2ce671cc-4241-4508-b6fc-598404bdc722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5DD13945</paraID>
      <start>0</start>
      <end>2</end>
      <status>ignored</status>
      <modifiedWord/>
      <trackRevisions>false</trackRevisions>
    </reviewItem>
    <reviewItem>
      <errorID>7eea6d26-acf2-40d9-bb82-4d207facb703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35A0B918</paraID>
      <start>0</start>
      <end>2</end>
      <status>ignored</status>
      <modifiedWord/>
      <trackRevisions>false</trackRevisions>
    </reviewItem>
    <reviewItem>
      <errorID>565d8905-578d-45bb-98ca-ec52437b2806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100EBBC9</paraID>
      <start>0</start>
      <end>2</end>
      <status>ignored</status>
      <modifiedWord/>
      <trackRevisions>false</trackRevisions>
    </reviewItem>
    <reviewItem>
      <errorID>21e2a86f-c607-46aa-b1f1-765fb89bb65d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263CCDF8</paraID>
      <start>0</start>
      <end>2</end>
      <status>ignored</status>
      <modifiedWord/>
      <trackRevisions>false</trackRevisions>
    </reviewItem>
    <reviewItem>
      <errorID>82ccd11f-4e1c-4ca2-8627-6be3f617e8f6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5952E688</paraID>
      <start>0</start>
      <end>2</end>
      <status>ignored</status>
      <modifiedWord/>
      <trackRevisions>false</trackRevisions>
    </reviewItem>
    <reviewItem>
      <errorID>33b52d22-1a0e-4247-99cb-b43dcf12c1a6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6AA7CA03</paraID>
      <start>0</start>
      <end>2</end>
      <status>ignored</status>
      <modifiedWord/>
      <trackRevisions>false</trackRevisions>
    </reviewItem>
    <reviewItem>
      <errorID>3bfed367-3d40-4cc6-bf0c-53c6f38dad0b</errorID>
      <errorWord>包括不限于</errorWord>
      <group>L1_Word</group>
      <groupName>字词问题</groupName>
      <ability>L2_Typo</ability>
      <abilityName>字词错误</abilityName>
      <candidateList>
        <item>包括但不限于</item>
      </candidateList>
      <explain/>
      <paraID>6AA7CA03</paraID>
      <start>18</start>
      <end>23</end>
      <status>ignored</status>
      <modifiedWord/>
      <trackRevisions>false</trackRevisions>
    </reviewItem>
    <reviewItem>
      <errorID>9372ad43-1365-49f0-85e9-933e6da1bb21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42A0F418</paraID>
      <start>0</start>
      <end>2</end>
      <status>ignored</status>
      <modifiedWord/>
      <trackRevisions>false</trackRevisions>
    </reviewItem>
    <reviewItem>
      <errorID>4ee1d00b-1371-428b-a998-f86f98c329b1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5E5B6EE5</paraID>
      <start>0</start>
      <end>2</end>
      <status>ignored</status>
      <modifiedWord/>
      <trackRevisions>false</trackRevisions>
    </reviewItem>
    <reviewItem>
      <errorID>7baf0459-5bf9-48ef-8eaf-b4f159c6cdeb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5B74921D</paraID>
      <start>0</start>
      <end>2</end>
      <status>ignored</status>
      <modifiedWord/>
      <trackRevisions>false</trackRevisions>
    </reviewItem>
    <reviewItem>
      <errorID>c5f4cadc-c2c8-4ac6-8f28-0cd3b24b65cb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59C61E20</paraID>
      <start>0</start>
      <end>2</end>
      <status>ignored</status>
      <modifiedWord/>
      <trackRevisions>false</trackRevisions>
    </reviewItem>
    <reviewItem>
      <errorID>6d8c27a8-9d54-462d-9517-f4ba031adf40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5D4265B</paraID>
      <start>0</start>
      <end>2</end>
      <status>ignored</status>
      <modifiedWord/>
      <trackRevisions>false</trackRevisions>
    </reviewItem>
    <reviewItem>
      <errorID>deca170a-622b-4146-92f6-ece9ab50a4a4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5263643F</paraID>
      <start>0</start>
      <end>2</end>
      <status>ignored</status>
      <modifiedWord/>
      <trackRevisions>false</trackRevisions>
    </reviewItem>
    <reviewItem>
      <errorID>0d4fba49-3975-4e9b-a196-2e8fe5e17013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61251460</paraID>
      <start>0</start>
      <end>2</end>
      <status>ignored</status>
      <modifiedWord/>
      <trackRevisions>false</trackRevisions>
    </reviewItem>
    <reviewItem>
      <errorID>e070ff97-fe0a-418f-bd4a-b601f0c4dc82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79DC70B2</paraID>
      <start>0</start>
      <end>2</end>
      <status>ignored</status>
      <modifiedWord/>
      <trackRevisions>false</trackRevisions>
    </reviewItem>
    <reviewItem>
      <errorID>490acaec-d253-45f9-947c-39c00e20b9c7</errorID>
      <errorWord>-</errorWord>
      <group>L1_Format</group>
      <groupName>格式问题</groupName>
      <ability>L2_HalfPunc_CN</ability>
      <abilityName>全半角检查</abilityName>
      <candidateList>
        <item>－</item>
      </candidateList>
      <explain>文本全半角错误。</explain>
      <paraID>5E823923</paraID>
      <start>13</start>
      <end>14</end>
      <status>ignored</status>
      <modifiedWord/>
      <trackRevisions>false</trackRevisions>
    </reviewItem>
    <reviewItem>
      <errorID>ff5d2ad1-d138-4590-81f2-636f7b614461</errorID>
      <errorWord>*</errorWord>
      <group>L1_Punc</group>
      <groupName>标点问题</groupName>
      <ability>L2_Punc_CN</ability>
      <abilityName>标点符号检查</abilityName>
      <candidateList/>
      <explain/>
      <paraID>6CF649F6</paraID>
      <start>0</start>
      <end>1</end>
      <status>ignored</status>
      <modifiedWord/>
      <trackRevisions>false</trackRevisions>
    </reviewItem>
    <reviewItem>
      <errorID>eafd4d0a-6673-46f0-86e0-05306fbf2def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23A5EC49</paraID>
      <start>0</start>
      <end>2</end>
      <status>ignored</status>
      <modifiedWord/>
      <trackRevisions>false</trackRevisions>
    </reviewItem>
    <reviewItem>
      <errorID>52a24b79-63be-4a8c-9ccf-eddfac5ce595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402AD6AC</paraID>
      <start>0</start>
      <end>2</end>
      <status>ignored</status>
      <modifiedWord/>
      <trackRevisions>false</trackRevisions>
    </reviewItem>
    <reviewItem>
      <errorID>9a4f4056-4380-48d6-a5e1-2b46ba8d180d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7119BF75</paraID>
      <start>0</start>
      <end>2</end>
      <status>ignored</status>
      <modifiedWord/>
      <trackRevisions>false</trackRevisions>
    </reviewItem>
    <reviewItem>
      <errorID>2e8c5ae5-11d1-42a0-afb0-d568eb2e53e5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D7BB3CA</paraID>
      <start>0</start>
      <end>2</end>
      <status>ignored</status>
      <modifiedWord/>
      <trackRevisions>false</trackRevisions>
    </reviewItem>
    <reviewItem>
      <errorID>2a6b6e9f-ef83-4125-9be3-068daf81a63b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7024BF55</paraID>
      <start>0</start>
      <end>2</end>
      <status>ignored</status>
      <modifiedWord/>
      <trackRevisions>false</trackRevisions>
    </reviewItem>
    <reviewItem>
      <errorID>d6449cc2-1e63-421e-8c3a-627e7a4bc4f2</errorID>
      <errorWord>*</errorWord>
      <group>L1_Punc</group>
      <groupName>标点问题</groupName>
      <ability>L2_Punc_CN</ability>
      <abilityName>标点符号检查</abilityName>
      <candidateList/>
      <explain/>
      <paraID>18954642</paraID>
      <start>0</start>
      <end>1</end>
      <status>ignored</status>
      <modifiedWord/>
      <trackRevisions>false</trackRevisions>
    </reviewItem>
    <reviewItem>
      <errorID>973a9833-8dfb-484b-babe-05f831c39cf5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2D2C8F05</paraID>
      <start>0</start>
      <end>2</end>
      <status>ignored</status>
      <modifiedWord/>
      <trackRevisions>false</trackRevisions>
    </reviewItem>
    <reviewItem>
      <errorID>774e867f-c84d-4e96-ab1c-1fa41b96028d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6FFF5623</paraID>
      <start>0</start>
      <end>2</end>
      <status>ignored</status>
      <modifiedWord/>
      <trackRevisions>false</trackRevisions>
    </reviewItem>
    <reviewItem>
      <errorID>6b3675e9-5325-47a7-9b1e-4ee9d5944e1b</errorID>
      <errorWord>针对</errorWord>
      <group>L1_Word</group>
      <groupName>字词问题</groupName>
      <ability>L2_Typo</ability>
      <abilityName>字词错误</abilityName>
      <candidateList>
        <item>对</item>
      </candidateList>
      <explain/>
      <paraID>6FFF5623</paraID>
      <start>47</start>
      <end>49</end>
      <status>ignored</status>
      <modifiedWord/>
      <trackRevisions>false</trackRevisions>
    </reviewItem>
    <reviewItem>
      <errorID>e2d8a99d-888d-4ada-b1bf-38c8730c3923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509338B1</paraID>
      <start>0</start>
      <end>2</end>
      <status>ignored</status>
      <modifiedWord/>
      <trackRevisions>false</trackRevisions>
    </reviewItem>
    <reviewItem>
      <errorID>036cdb71-11e1-4f3d-89e2-69b0d68998a3</errorID>
      <errorWord>*</errorWord>
      <group>L1_Punc</group>
      <groupName>标点问题</groupName>
      <ability>L2_Punc_CN</ability>
      <abilityName>标点符号检查</abilityName>
      <candidateList/>
      <explain/>
      <paraID>4AE416BB</paraID>
      <start>0</start>
      <end>1</end>
      <status>ignored</status>
      <modifiedWord/>
      <trackRevisions>false</trackRevisions>
    </reviewItem>
    <reviewItem>
      <errorID>73f97e1d-d5b7-4bc4-a70d-008438de0506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2C595418</paraID>
      <start>0</start>
      <end>2</end>
      <status>unmodified</status>
      <modifiedWord/>
      <trackRevisions>false</trackRevisions>
    </reviewItem>
    <reviewItem>
      <errorID>a082aea6-cc44-497c-8f4c-54db764ea5ec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7A3901D6</paraID>
      <start>0</start>
      <end>2</end>
      <status>unmodified</status>
      <modifiedWord/>
      <trackRevisions>false</trackRevisions>
    </reviewItem>
    <reviewItem>
      <errorID>8ee02ed7-e1fd-45eb-9dd7-0d3b3930eeb6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2B33540F</paraID>
      <start>0</start>
      <end>2</end>
      <status>unmodified</status>
      <modifiedWord/>
      <trackRevisions>false</trackRevisions>
    </reviewItem>
    <reviewItem>
      <errorID>296361f4-e00c-410e-95a1-cdac336a6502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5FBD3E84</paraID>
      <start>0</start>
      <end>2</end>
      <status>unmodified</status>
      <modifiedWord/>
      <trackRevisions>false</trackRevisions>
    </reviewItem>
    <reviewItem>
      <errorID>61dcdcac-a8c3-497e-abda-8ab043d8fe91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11692A22</paraID>
      <start>0</start>
      <end>0</end>
      <status>unmodified</status>
      <modifiedWord/>
      <trackRevisions>false</trackRevisions>
    </reviewItem>
    <reviewItem>
      <errorID>d101f530-7187-4ed0-9177-446551cd4ca6</errorID>
      <errorWord>域值</errorWord>
      <group>L1_Word</group>
      <groupName>字词问题</groupName>
      <ability>L2_Typo</ability>
      <abilityName>字词错误</abilityName>
      <candidateList>
        <item>阈值</item>
      </candidateList>
      <explain/>
      <paraID>11692A22</paraID>
      <start>0</start>
      <end>0</end>
      <status>unmodified</status>
      <modifiedWord/>
      <trackRevisions>false</trackRevisions>
    </reviewItem>
    <reviewItem>
      <errorID>22c8ce2c-547f-44ad-ac64-05584d896fb0</errorID>
      <errorWord>需</errorWord>
      <group>L1_Word</group>
      <groupName>字词问题</groupName>
      <ability>L2_Typo</ability>
      <abilityName>字词错误</abilityName>
      <candidateList>
        <item>须</item>
      </candidateList>
      <explain>存在发音相同字词的误用。</explain>
      <paraID>11692A22</paraID>
      <start>0</start>
      <end>0</end>
      <status>unmodified</status>
      <modifiedWord/>
      <trackRevisions>false</trackRevisions>
    </reviewItem>
    <reviewItem>
      <errorID>05e0a8c8-78cb-4af0-804c-b52419d0dba3</errorID>
      <errorWord>*</errorWord>
      <group>L1_Punc</group>
      <groupName>标点问题</groupName>
      <ability>L2_Punc_CN</ability>
      <abilityName>标点符号检查</abilityName>
      <candidateList/>
      <explain/>
      <paraID>11692A22</paraID>
      <start>0</start>
      <end>0</end>
      <status>unmodified</status>
      <modifiedWord/>
      <trackRevisions>false</trackRevisions>
    </reviewItem>
    <reviewItem>
      <errorID>14885374-9833-4007-a0b1-dc9197c4b391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C82A279</paraID>
      <start>0</start>
      <end>2</end>
      <status>unmodified</status>
      <modifiedWord/>
      <trackRevisions>false</trackRevisions>
    </reviewItem>
    <reviewItem>
      <errorID>18b22051-f18d-4464-b886-2ed956252ed6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39ADA8A2</paraID>
      <start>0</start>
      <end>2</end>
      <status>unmodified</status>
      <modifiedWord/>
      <trackRevisions>false</trackRevisions>
    </reviewItem>
    <reviewItem>
      <errorID>3bc296b5-753f-49ae-9741-1195036cf4d7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47D3D36D</paraID>
      <start>0</start>
      <end>2</end>
      <status>unmodified</status>
      <modifiedWord/>
      <trackRevisions>false</trackRevisions>
    </reviewItem>
    <reviewItem>
      <errorID>7015dccd-f339-4649-bfe4-143bfb5118c1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55B1A57B</paraID>
      <start>0</start>
      <end>2</end>
      <status>unmodified</status>
      <modifiedWord/>
      <trackRevisions>false</trackRevisions>
    </reviewItem>
    <reviewItem>
      <errorID>ec9f5513-e375-490d-b05c-5088d01c05fc</errorID>
      <errorWord>一周年</errorWord>
      <group>L1_Word</group>
      <groupName>字词问题</groupName>
      <ability>L2_Typo</ability>
      <abilityName>字词错误</abilityName>
      <candidateList>
        <item>一周</item>
      </candidateList>
      <explain/>
      <paraID>18E9FAAB</paraID>
      <start>14</start>
      <end>17</end>
      <status>unmodified</status>
      <modifiedWord/>
      <trackRevisions>false</trackRevisions>
    </reviewItem>
    <reviewItem>
      <errorID>36b9a47d-f6e1-4c65-9a27-1b56a98b9e3e</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52</start>
      <end>54</end>
      <status>unmodified</status>
      <modifiedWord/>
      <trackRevisions>false</trackRevisions>
    </reviewItem>
    <reviewItem>
      <errorID>0162f2d3-662e-4db1-82b9-e576c42b511c</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80</start>
      <end>82</end>
      <status>unmodified</status>
      <modifiedWord/>
      <trackRevisions>false</trackRevisions>
    </reviewItem>
    <reviewItem>
      <errorID>d3284afb-0a7d-44c4-aa84-e7103633e0f5</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6E6FD6A3</paraID>
      <start>268</start>
      <end>275</end>
      <status>unmodified</status>
      <modifiedWord/>
      <trackRevisions>false</trackRevisions>
    </reviewItem>
    <reviewItem>
      <errorID>50313895-ca2e-4f46-bb92-7c7e7d4c2890</errorID>
      <errorWord>法律、法规</errorWord>
      <group>L1_Word</group>
      <groupName>字词问题</groupName>
      <ability>L2_Typo</ability>
      <abilityName>字词错误</abilityName>
      <candidateList>
        <item>法律法规</item>
      </candidateList>
      <explain/>
      <paraID>2963D715</paraID>
      <start>3</start>
      <end>8</end>
      <status>unmodified</status>
      <modifiedWord/>
      <trackRevisions>false</trackRevisions>
    </reviewItem>
    <reviewItem>
      <errorID>d3c2c664-13c9-4229-a3f1-996614ee9302</errorID>
      <errorWord>少数民族地区</errorWord>
      <group>L1_Word</group>
      <groupName>字词问题</groupName>
      <ability>L2_Typo</ability>
      <abilityName>字词错误</abilityName>
      <candidateList>
        <item>民族地区</item>
      </candidateList>
      <explain/>
      <paraID>6E863133</paraID>
      <start>155</start>
      <end>161</end>
      <status>unmodified</status>
      <modifiedWord/>
      <trackRevisions>false</trackRevisions>
    </reviewItem>
    <reviewItem>
      <errorID>ca4147b1-adc7-44cd-9d7f-431f93621cb5</errorID>
      <errorWord>少数民族地区</errorWord>
      <group>L1_Word</group>
      <groupName>字词问题</groupName>
      <ability>L2_Typo</ability>
      <abilityName>字词错误</abilityName>
      <candidateList>
        <item>民族地区</item>
      </candidateList>
      <explain/>
      <paraID>6E863133</paraID>
      <start>177</start>
      <end>183</end>
      <status>unmodified</status>
      <modifiedWord/>
      <trackRevisions>false</trackRevisions>
    </reviewItem>
    <reviewItem>
      <errorID>1176dc15-0aa5-4944-a49d-d79f2027fb89</errorID>
      <errorWord>少数民族地区</errorWord>
      <group>L1_Word</group>
      <groupName>字词问题</groupName>
      <ability>L2_Typo</ability>
      <abilityName>字词错误</abilityName>
      <candidateList>
        <item>民族地区</item>
      </candidateList>
      <explain/>
      <paraID>6E863133</paraID>
      <start>222</start>
      <end>228</end>
      <status>unmodified</status>
      <modifiedWord/>
      <trackRevisions>false</trackRevisions>
    </reviewItem>
    <reviewItem>
      <errorID>e6a666c3-1b5c-4bb2-835a-51bf8e991b05</errorID>
      <errorWord>少数民族地区</errorWord>
      <group>L1_Word</group>
      <groupName>字词问题</groupName>
      <ability>L2_Typo</ability>
      <abilityName>字词错误</abilityName>
      <candidateList>
        <item>民族地区</item>
      </candidateList>
      <explain/>
      <paraID>6E863133</paraID>
      <start>270</start>
      <end>276</end>
      <status>unmodified</status>
      <modifiedWord/>
      <trackRevisions>false</trackRevisions>
    </reviewItem>
    <reviewItem>
      <errorID>6eee65b7-9cfb-4fd8-80f0-63f3f2e1dbaa</errorID>
      <errorWord>少数民族地区</errorWord>
      <group>L1_Word</group>
      <groupName>字词问题</groupName>
      <ability>L2_Typo</ability>
      <abilityName>字词错误</abilityName>
      <candidateList>
        <item>民族地区</item>
      </candidateList>
      <explain/>
      <paraID>6E863133</paraID>
      <start>290</start>
      <end>296</end>
      <status>unmodified</status>
      <modifiedWord/>
      <trackRevisions>false</trackRevisions>
    </reviewItem>
    <reviewItem>
      <errorID>788e6e99-d3d4-4a9f-90c7-591a8277a2af</errorID>
      <errorWord>少数民族地区</errorWord>
      <group>L1_Word</group>
      <groupName>字词问题</groupName>
      <ability>L2_Typo</ability>
      <abilityName>字词错误</abilityName>
      <candidateList>
        <item>民族地区</item>
      </candidateList>
      <explain/>
      <paraID>6E863133</paraID>
      <start>335</start>
      <end>341</end>
      <status>unmodified</status>
      <modifiedWord/>
      <trackRevisions>false</trackRevisions>
    </reviewItem>
    <reviewItem>
      <errorID>f14e5889-525c-41b9-9ecc-d43184e3cbc3</errorID>
      <errorWord>不得擅自中止采购活动</errorWord>
      <group>L1_Word</group>
      <groupName>字词问题</groupName>
      <ability>L2_Typo</ability>
      <abilityName>字词错误</abilityName>
      <candidateList>
        <item>不得擅自终止采购活动</item>
      </candidateList>
      <explain/>
      <paraID>4BE6B8FC</paraID>
      <start>165</start>
      <end>175</end>
      <status>unmodified</status>
      <modifiedWord/>
      <trackRevisions>false</trackRevisions>
    </reviewItem>
    <reviewItem>
      <errorID>95090f60-a57b-47d0-85d6-823dccaf1df9</errorID>
      <errorWord>（</errorWord>
      <group>L1_Punc</group>
      <groupName>标点问题</groupName>
      <ability>L2_Punc_CN</ability>
      <abilityName>标点符号检查</abilityName>
      <candidateList/>
      <explain>同一形式括号套用。</explain>
      <paraID>7C17DD30</paraID>
      <start>78</start>
      <end>79</end>
      <status>unmodified</status>
      <modifiedWord/>
      <trackRevisions>false</trackRevisions>
    </reviewItem>
    <reviewItem>
      <errorID>297c447e-c9bf-40af-bcfa-dd0e8efdb262</errorID>
      <errorWord>）</errorWord>
      <group>L1_Punc</group>
      <groupName>标点问题</groupName>
      <ability>L2_Punc_CN</ability>
      <abilityName>标点符号检查</abilityName>
      <candidateList/>
      <explain>同一形式括号套用。</explain>
      <paraID>7C17DD30</paraID>
      <start>81</start>
      <end>82</end>
      <status>unmodified</status>
      <modifiedWord/>
      <trackRevisions>false</trackRevisions>
    </reviewItem>
    <reviewItem>
      <errorID>dee925b6-dd37-41f1-97da-00fecddddb60</errorID>
      <errorWord>（</errorWord>
      <group>L1_Punc</group>
      <groupName>标点问题</groupName>
      <ability>L2_Punc_CN</ability>
      <abilityName>标点符号检查</abilityName>
      <candidateList/>
      <explain>同一形式括号套用。</explain>
      <paraID>5EAA365C</paraID>
      <start>77</start>
      <end>78</end>
      <status>unmodified</status>
      <modifiedWord/>
      <trackRevisions>false</trackRevisions>
    </reviewItem>
    <reviewItem>
      <errorID>e156a0b2-4fe4-4719-8eed-ccf93c487868</errorID>
      <errorWord>）</errorWord>
      <group>L1_Punc</group>
      <groupName>标点问题</groupName>
      <ability>L2_Punc_CN</ability>
      <abilityName>标点符号检查</abilityName>
      <candidateList/>
      <explain>同一形式括号套用。</explain>
      <paraID>5EAA365C</paraID>
      <start>80</start>
      <end>81</end>
      <status>unmodified</status>
      <modifiedWord/>
      <trackRevisions>false</trackRevisions>
    </reviewItem>
    <reviewItem>
      <errorID>68ceebcd-446b-448c-89c3-25288eea1685</errorID>
      <errorWord>柴发</errorWord>
      <group>L1_Word</group>
      <groupName>字词问题</groupName>
      <ability>L2_Typo</ability>
      <abilityName>字词错误</abilityName>
      <candidateList>
        <item>研发</item>
      </candidateList>
      <explain/>
      <paraID>73FE9754</paraID>
      <start>42</start>
      <end>44</end>
      <status>unmodified</status>
      <modifiedWord/>
      <trackRevisions>false</trackRevisions>
    </reviewItem>
    <reviewItem>
      <errorID>22bd6266-142c-4688-9778-10f16d4dc4c4</errorID>
      <errorWord>法律、法规</errorWord>
      <group>L1_Word</group>
      <groupName>字词问题</groupName>
      <ability>L2_Typo</ability>
      <abilityName>字词错误</abilityName>
      <candidateList>
        <item>法律法规</item>
      </candidateList>
      <explain/>
      <paraID>21E512D1</paraID>
      <start>3</start>
      <end>8</end>
      <status>unmodified</status>
      <modifiedWord/>
      <trackRevisions>false</trackRevisions>
    </reviewItem>
    <reviewItem>
      <errorID>ba94dd72-5c62-4e0d-978e-6ce6c2107576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46BA3F1E</paraID>
      <start>0</start>
      <end>2</end>
      <status>unmodified</status>
      <modifiedWord/>
      <trackRevisions>false</trackRevisions>
    </reviewItem>
    <reviewItem>
      <errorID>3435ebdb-20e7-4847-926b-c51d8051f9e7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378E1C67</paraID>
      <start>0</start>
      <end>2</end>
      <status>unmodified</status>
      <modifiedWord/>
      <trackRevisions>false</trackRevisions>
    </reviewItem>
    <reviewItem>
      <errorID>7727eb3f-c9a5-4cfd-a806-41d190252639</errorID>
      <errorWord>法律、法规</errorWord>
      <group>L1_Word</group>
      <groupName>字词问题</groupName>
      <ability>L2_Typo</ability>
      <abilityName>字词错误</abilityName>
      <candidateList>
        <item>法律法规</item>
      </candidateList>
      <explain/>
      <paraID>3DA8517E</paraID>
      <start>6</start>
      <end>11</end>
      <status>unmodified</status>
      <modifiedWord/>
      <trackRevisions>false</trackRevisions>
    </reviewItem>
    <reviewItem>
      <errorID>bbf99c23-e354-4e35-8bc4-5d4707024711</errorID>
      <errorWord>其它</errorWord>
      <group>L1_Word</group>
      <groupName>字词问题</groupName>
      <ability>L2_Alias</ability>
      <abilityName>也作/曾用词</abilityName>
      <candidateList>
        <item>其他</item>
      </candidateList>
      <explain>词汇[其它]为不规范表述或旧称，其规范书面表述为[其他]。</explain>
      <paraID>3DA8517E</paraID>
      <start>20</start>
      <end>22</end>
      <status>unmodified</status>
      <modifiedWord/>
      <trackRevisions>false</trackRevisions>
    </reviewItem>
    <reviewItem>
      <errorID>5ad07f7e-276b-4020-bee9-8646fcf27d8b</errorID>
      <errorWord>法律、法规</errorWord>
      <group>L1_Word</group>
      <groupName>字词问题</groupName>
      <ability>L2_Typo</ability>
      <abilityName>字词错误</abilityName>
      <candidateList>
        <item>法律法规</item>
      </candidateList>
      <explain/>
      <paraID>4CC15AED</paraID>
      <start>7</start>
      <end>12</end>
      <status>unmodified</status>
      <modifiedWord/>
      <trackRevisions>false</trackRevisions>
    </reviewItem>
    <reviewItem>
      <errorID>297f679b-6081-4c3a-8c03-3d774bcdd324</errorID>
      <errorWord>其它</errorWord>
      <group>L1_Word</group>
      <groupName>字词问题</groupName>
      <ability>L2_Alias</ability>
      <abilityName>也作/曾用词</abilityName>
      <candidateList>
        <item>其他</item>
      </candidateList>
      <explain>词汇[其它]为不规范表述或旧称，其规范书面表述为[其他]。</explain>
      <paraID>4CC15AED</paraID>
      <start>21</start>
      <end>23</end>
      <status>unmodified</status>
      <modifiedWord/>
      <trackRevisions>false</trackRevisions>
    </reviewItem>
  </reviewItems>
  <config/>
</contractReview>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C8A95-76FB-4ED0-8B0A-A9E037D7A3F9}">
  <ds:schemaRefs/>
</ds:datastoreItem>
</file>

<file path=customXml/itemProps2.xml><?xml version="1.0" encoding="utf-8"?>
<ds:datastoreItem xmlns:ds="http://schemas.openxmlformats.org/officeDocument/2006/customXml" ds:itemID="{127bff81-d7c0-44e6-9b79-f65be9675fe0}">
  <ds:schemaRefs/>
</ds:datastoreItem>
</file>

<file path=customXml/itemProps3.xml><?xml version="1.0" encoding="utf-8"?>
<ds:datastoreItem xmlns:ds="http://schemas.openxmlformats.org/officeDocument/2006/customXml" ds:itemID="{64329229-C813-4AC7-BD0A-A4826A1AC052}">
  <ds:schemaRefs/>
</ds:datastoreItem>
</file>

<file path=customXml/itemProps4.xml><?xml version="1.0" encoding="utf-8"?>
<ds:datastoreItem xmlns:ds="http://schemas.openxmlformats.org/officeDocument/2006/customXml" ds:itemID="{DC608CAE-17FF-44AF-9F1A-5FCED210C8C2}">
  <ds:schemaRefs/>
</ds:datastoreItem>
</file>

<file path=docProps/app.xml><?xml version="1.0" encoding="utf-8"?>
<Properties xmlns="http://schemas.openxmlformats.org/officeDocument/2006/extended-properties" xmlns:vt="http://schemas.openxmlformats.org/officeDocument/2006/docPropsVTypes">
  <Template>Normal</Template>
  <Pages>62</Pages>
  <Words>26036</Words>
  <Characters>27400</Characters>
  <Lines>213</Lines>
  <Paragraphs>60</Paragraphs>
  <TotalTime>44</TotalTime>
  <ScaleCrop>false</ScaleCrop>
  <LinksUpToDate>false</LinksUpToDate>
  <CharactersWithSpaces>27639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2026-08-24T09:08:10Z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029A2FE0794943C3BDE95B937564DCB8_13</vt:lpwstr>
  </property>
  <property fmtid="{D5CDD505-2E9C-101B-9397-08002B2CF9AE}" pid="4" name="KSOTemplateDocerSaveRecord">
    <vt:lpwstr>eyJoZGlkIjoiYmJkYTU3MWZlMWZjNjM5M2NiNGUwM2YyZjkyMDk0YTAiLCJ1c2VySWQiOiI0MjMyOTQxMzQifQ==</vt:lpwstr>
  </property>
</Properties>
</file>